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E1" w:rsidRPr="00AE00DF" w:rsidRDefault="00A967E1" w:rsidP="00A967E1">
      <w:pPr>
        <w:pStyle w:val="Heading1"/>
        <w:jc w:val="both"/>
        <w:rPr>
          <w:rFonts w:cs="Arial"/>
        </w:rPr>
      </w:pPr>
      <w:r w:rsidRPr="00AE00DF">
        <w:rPr>
          <w:rFonts w:cs="Arial"/>
        </w:rPr>
        <w:t>Schedule 4: Proposal form</w:t>
      </w:r>
    </w:p>
    <w:p w:rsidR="00A967E1" w:rsidRPr="00044796" w:rsidRDefault="00A967E1" w:rsidP="00A967E1">
      <w:pPr>
        <w:rPr>
          <w:rFonts w:cs="Arial"/>
        </w:rPr>
      </w:pPr>
      <w:r w:rsidRPr="00495BEF">
        <w:rPr>
          <w:rFonts w:cs="Arial"/>
          <w:b/>
        </w:rPr>
        <w:t xml:space="preserve">An electronic version of this form is available on PHARMAC’s website at </w:t>
      </w:r>
      <w:hyperlink r:id="rId7" w:history="1">
        <w:r w:rsidRPr="00495BEF">
          <w:rPr>
            <w:rStyle w:val="Hyperlink"/>
            <w:rFonts w:cs="Arial"/>
            <w:b/>
          </w:rPr>
          <w:t>www.pharmac.govt.nz</w:t>
        </w:r>
      </w:hyperlink>
      <w:r w:rsidRPr="00495BEF">
        <w:rPr>
          <w:rFonts w:cs="Arial"/>
          <w:b/>
        </w:rPr>
        <w:t xml:space="preserve"> and on GETS (</w:t>
      </w:r>
      <w:hyperlink r:id="rId8" w:history="1">
        <w:r w:rsidRPr="00495BEF">
          <w:rPr>
            <w:rStyle w:val="Hyperlink"/>
            <w:rFonts w:cs="Arial"/>
            <w:b/>
          </w:rPr>
          <w:t>www.gets.govt.nz</w:t>
        </w:r>
      </w:hyperlink>
      <w:r w:rsidRPr="00495BEF">
        <w:rPr>
          <w:rFonts w:cs="Arial"/>
          <w:b/>
        </w:rPr>
        <w:t>).  You should expand the boxes as necessary.</w:t>
      </w:r>
    </w:p>
    <w:p w:rsidR="00A967E1" w:rsidRPr="00AE00DF" w:rsidRDefault="00A967E1" w:rsidP="00A967E1">
      <w:pPr>
        <w:jc w:val="both"/>
        <w:rPr>
          <w:rFonts w:cs="Arial"/>
        </w:rPr>
      </w:pPr>
      <w:r w:rsidRPr="001159F2" w:rsidDel="00C453A7">
        <w:rPr>
          <w:rFonts w:cs="Arial"/>
          <w:b/>
          <w:i/>
        </w:rPr>
        <w:t xml:space="preserve"> </w:t>
      </w:r>
      <w:r w:rsidRPr="001159F2">
        <w:rPr>
          <w:rFonts w:cs="Arial"/>
          <w:b/>
        </w:rPr>
        <w:t>[</w:t>
      </w:r>
      <w:r w:rsidRPr="001159F2">
        <w:rPr>
          <w:rFonts w:cs="Arial"/>
          <w:b/>
          <w:i/>
        </w:rPr>
        <w:t>Supplier to insert date</w:t>
      </w:r>
      <w:r w:rsidRPr="001159F2">
        <w:rPr>
          <w:rFonts w:cs="Arial"/>
        </w:rPr>
        <w:t>]</w:t>
      </w:r>
    </w:p>
    <w:p w:rsidR="00A967E1" w:rsidRPr="00AE00DF" w:rsidRDefault="00A967E1" w:rsidP="00A967E1">
      <w:pPr>
        <w:spacing w:after="0"/>
        <w:rPr>
          <w:rFonts w:cs="Arial"/>
        </w:rPr>
      </w:pPr>
      <w:r>
        <w:rPr>
          <w:rFonts w:cs="Arial"/>
        </w:rPr>
        <w:t>Sarah Fitt, Director of Operations</w:t>
      </w:r>
      <w:r w:rsidRPr="00AE00DF">
        <w:rPr>
          <w:rFonts w:cs="Arial"/>
        </w:rPr>
        <w:br/>
        <w:t xml:space="preserve">C/- </w:t>
      </w:r>
      <w:r>
        <w:rPr>
          <w:rFonts w:cs="Arial"/>
        </w:rPr>
        <w:t>Chloe Dimock</w:t>
      </w:r>
      <w:r w:rsidRPr="00AE00DF">
        <w:rPr>
          <w:rFonts w:cs="Arial"/>
        </w:rPr>
        <w:br/>
      </w:r>
    </w:p>
    <w:p w:rsidR="00A967E1" w:rsidRPr="00AE00DF" w:rsidRDefault="00A967E1" w:rsidP="00A967E1">
      <w:pPr>
        <w:rPr>
          <w:rFonts w:cs="Arial"/>
        </w:rPr>
      </w:pPr>
      <w:r w:rsidRPr="00AE00DF">
        <w:rPr>
          <w:rFonts w:cs="Arial"/>
        </w:rPr>
        <w:t>Dear Sir/Madam</w:t>
      </w:r>
    </w:p>
    <w:p w:rsidR="00A967E1" w:rsidRPr="00AE00DF" w:rsidRDefault="00A967E1" w:rsidP="00A967E1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>
        <w:rPr>
          <w:rFonts w:cs="Arial"/>
          <w:b/>
        </w:rPr>
        <w:t>entecavir or tenofovir disoproxil</w:t>
      </w:r>
    </w:p>
    <w:p w:rsidR="00A967E1" w:rsidRPr="00AE00DF" w:rsidRDefault="00A967E1" w:rsidP="00A967E1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>
        <w:rPr>
          <w:rFonts w:cs="Arial"/>
        </w:rPr>
        <w:t xml:space="preserve">) dated </w:t>
      </w:r>
      <w:r w:rsidRPr="001159F2">
        <w:rPr>
          <w:rFonts w:cs="Arial"/>
          <w:b/>
        </w:rPr>
        <w:t>1</w:t>
      </w:r>
      <w:r>
        <w:rPr>
          <w:rFonts w:cs="Arial"/>
          <w:b/>
        </w:rPr>
        <w:t>9</w:t>
      </w:r>
      <w:r w:rsidRPr="001159F2">
        <w:rPr>
          <w:rFonts w:cs="Arial"/>
          <w:b/>
        </w:rPr>
        <w:t xml:space="preserve"> July 2017</w:t>
      </w:r>
      <w:r w:rsidRPr="00AE00DF">
        <w:rPr>
          <w:rFonts w:cs="Arial"/>
        </w:rPr>
        <w:t>, we put forward the following proposal in respect of [</w:t>
      </w:r>
      <w:r w:rsidRPr="001159F2">
        <w:rPr>
          <w:rFonts w:cs="Arial"/>
          <w:b/>
          <w:i/>
        </w:rPr>
        <w:t>insert pharmaceutical</w:t>
      </w:r>
      <w:r w:rsidRPr="00AE00DF">
        <w:rPr>
          <w:rFonts w:cs="Arial"/>
        </w:rPr>
        <w:t>].</w:t>
      </w:r>
    </w:p>
    <w:p w:rsidR="00A967E1" w:rsidRPr="00AE00DF" w:rsidRDefault="00A967E1" w:rsidP="00A967E1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:rsidR="00A967E1" w:rsidRPr="00AE00DF" w:rsidRDefault="00A967E1" w:rsidP="00A967E1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524"/>
      </w:tblGrid>
      <w:tr w:rsidR="00A967E1" w:rsidRPr="00AE00DF" w:rsidTr="00033B7B">
        <w:trPr>
          <w:trHeight w:val="319"/>
        </w:trPr>
        <w:tc>
          <w:tcPr>
            <w:tcW w:w="3431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452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rPr>
          <w:trHeight w:val="304"/>
        </w:trPr>
        <w:tc>
          <w:tcPr>
            <w:tcW w:w="3431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452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rPr>
          <w:trHeight w:val="319"/>
        </w:trPr>
        <w:tc>
          <w:tcPr>
            <w:tcW w:w="3431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452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rPr>
          <w:trHeight w:val="304"/>
        </w:trPr>
        <w:tc>
          <w:tcPr>
            <w:tcW w:w="3431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452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rPr>
          <w:trHeight w:val="319"/>
        </w:trPr>
        <w:tc>
          <w:tcPr>
            <w:tcW w:w="3431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452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rPr>
          <w:trHeight w:val="304"/>
        </w:trPr>
        <w:tc>
          <w:tcPr>
            <w:tcW w:w="3431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452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</w:tbl>
    <w:p w:rsidR="00A967E1" w:rsidRPr="00AE00DF" w:rsidRDefault="00A967E1" w:rsidP="00A967E1">
      <w:pPr>
        <w:rPr>
          <w:rFonts w:cs="Arial"/>
        </w:rPr>
      </w:pPr>
    </w:p>
    <w:p w:rsidR="00A967E1" w:rsidRPr="00AE00DF" w:rsidRDefault="00A967E1" w:rsidP="00A967E1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Details of pharmaceutical presentation:</w:t>
      </w:r>
    </w:p>
    <w:tbl>
      <w:tblPr>
        <w:tblW w:w="785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7"/>
        <w:gridCol w:w="1944"/>
        <w:gridCol w:w="1944"/>
      </w:tblGrid>
      <w:tr w:rsidR="00A967E1" w:rsidRPr="00AE00DF" w:rsidTr="00033B7B">
        <w:trPr>
          <w:trHeight w:val="504"/>
        </w:trPr>
        <w:tc>
          <w:tcPr>
            <w:tcW w:w="2263" w:type="dxa"/>
            <w:shd w:val="clear" w:color="auto" w:fill="D9D9D9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707" w:type="dxa"/>
            <w:shd w:val="clear" w:color="auto" w:fill="D9D9D9"/>
          </w:tcPr>
          <w:p w:rsidR="00A967E1" w:rsidRPr="00E025DA" w:rsidRDefault="00A967E1" w:rsidP="00033B7B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Line</w:t>
            </w:r>
          </w:p>
        </w:tc>
        <w:tc>
          <w:tcPr>
            <w:tcW w:w="1944" w:type="dxa"/>
            <w:shd w:val="clear" w:color="auto" w:fill="D9D9D9"/>
          </w:tcPr>
          <w:p w:rsidR="00A967E1" w:rsidRPr="00E025DA" w:rsidRDefault="00A967E1" w:rsidP="00033B7B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Second Line</w:t>
            </w:r>
          </w:p>
        </w:tc>
        <w:tc>
          <w:tcPr>
            <w:tcW w:w="1944" w:type="dxa"/>
            <w:shd w:val="clear" w:color="auto" w:fill="D9D9D9"/>
          </w:tcPr>
          <w:p w:rsidR="00A967E1" w:rsidRDefault="00A967E1" w:rsidP="00033B7B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Equal Access</w:t>
            </w:r>
          </w:p>
        </w:tc>
      </w:tr>
      <w:tr w:rsidR="00A967E1" w:rsidRPr="00AE00DF" w:rsidTr="00033B7B">
        <w:trPr>
          <w:trHeight w:val="504"/>
        </w:trPr>
        <w:tc>
          <w:tcPr>
            <w:tcW w:w="2263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Chemical name</w:t>
            </w:r>
          </w:p>
        </w:tc>
        <w:tc>
          <w:tcPr>
            <w:tcW w:w="1707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rPr>
          <w:trHeight w:val="478"/>
        </w:trPr>
        <w:tc>
          <w:tcPr>
            <w:tcW w:w="2263" w:type="dxa"/>
          </w:tcPr>
          <w:p w:rsidR="00A967E1" w:rsidRPr="001A0937" w:rsidRDefault="00A967E1" w:rsidP="00033B7B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 xml:space="preserve">Strength (e.g. </w:t>
            </w:r>
            <w:r>
              <w:rPr>
                <w:rFonts w:cs="Arial"/>
              </w:rPr>
              <w:t xml:space="preserve">tab 0.5 </w:t>
            </w:r>
            <w:r w:rsidRPr="001A0937">
              <w:rPr>
                <w:rFonts w:cs="Arial"/>
              </w:rPr>
              <w:t>mg)</w:t>
            </w:r>
          </w:p>
        </w:tc>
        <w:tc>
          <w:tcPr>
            <w:tcW w:w="1707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rPr>
          <w:trHeight w:val="504"/>
        </w:trPr>
        <w:tc>
          <w:tcPr>
            <w:tcW w:w="2263" w:type="dxa"/>
          </w:tcPr>
          <w:p w:rsidR="00A967E1" w:rsidRPr="001A0937" w:rsidRDefault="00A967E1" w:rsidP="00033B7B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Form (e.g. tablet)</w:t>
            </w:r>
          </w:p>
        </w:tc>
        <w:tc>
          <w:tcPr>
            <w:tcW w:w="1707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rPr>
          <w:trHeight w:val="2117"/>
        </w:trPr>
        <w:tc>
          <w:tcPr>
            <w:tcW w:w="2263" w:type="dxa"/>
          </w:tcPr>
          <w:p w:rsidR="00A967E1" w:rsidRPr="001A0937" w:rsidRDefault="00A967E1" w:rsidP="00033B7B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Colour, Shape and Markings (e.g. white triangular tablet embossed with ENT 500)</w:t>
            </w:r>
          </w:p>
        </w:tc>
        <w:tc>
          <w:tcPr>
            <w:tcW w:w="1707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rPr>
          <w:trHeight w:val="478"/>
        </w:trPr>
        <w:tc>
          <w:tcPr>
            <w:tcW w:w="2263" w:type="dxa"/>
          </w:tcPr>
          <w:p w:rsidR="00A967E1" w:rsidRPr="001A0937" w:rsidRDefault="00A967E1" w:rsidP="00033B7B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lastRenderedPageBreak/>
              <w:t>Brand name</w:t>
            </w:r>
          </w:p>
        </w:tc>
        <w:tc>
          <w:tcPr>
            <w:tcW w:w="1707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rPr>
          <w:trHeight w:val="504"/>
        </w:trPr>
        <w:tc>
          <w:tcPr>
            <w:tcW w:w="2263" w:type="dxa"/>
          </w:tcPr>
          <w:p w:rsidR="00A967E1" w:rsidRPr="001A0937" w:rsidRDefault="00A967E1" w:rsidP="00033B7B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Pack size (e.g. 30’s)</w:t>
            </w:r>
          </w:p>
        </w:tc>
        <w:tc>
          <w:tcPr>
            <w:tcW w:w="1707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rPr>
          <w:trHeight w:val="478"/>
        </w:trPr>
        <w:tc>
          <w:tcPr>
            <w:tcW w:w="2263" w:type="dxa"/>
          </w:tcPr>
          <w:p w:rsidR="00A967E1" w:rsidRPr="001A0937" w:rsidRDefault="00A967E1" w:rsidP="00033B7B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Packaging type (e.g. blister)</w:t>
            </w:r>
          </w:p>
        </w:tc>
        <w:tc>
          <w:tcPr>
            <w:tcW w:w="1707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rPr>
          <w:trHeight w:val="1299"/>
        </w:trPr>
        <w:tc>
          <w:tcPr>
            <w:tcW w:w="2263" w:type="dxa"/>
          </w:tcPr>
          <w:p w:rsidR="00A967E1" w:rsidRPr="00BC148C" w:rsidRDefault="00A967E1" w:rsidP="00033B7B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Shelf life (e.g. 36 months from date of manufacture stored at or below 30°C)</w:t>
            </w:r>
          </w:p>
        </w:tc>
        <w:tc>
          <w:tcPr>
            <w:tcW w:w="1707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44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</w:tbl>
    <w:p w:rsidR="00A967E1" w:rsidRPr="00AE00DF" w:rsidRDefault="00A967E1" w:rsidP="00A967E1">
      <w:pPr>
        <w:rPr>
          <w:rFonts w:cs="Arial"/>
        </w:rPr>
      </w:pPr>
    </w:p>
    <w:p w:rsidR="00A967E1" w:rsidRPr="00BC148C" w:rsidRDefault="00A967E1" w:rsidP="00A967E1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Details of pharmaceutical manufacture:</w:t>
      </w:r>
    </w:p>
    <w:tbl>
      <w:tblPr>
        <w:tblW w:w="77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1697"/>
        <w:gridCol w:w="1908"/>
        <w:gridCol w:w="1908"/>
      </w:tblGrid>
      <w:tr w:rsidR="00A967E1" w:rsidRPr="00BC148C" w:rsidTr="00033B7B">
        <w:trPr>
          <w:trHeight w:val="293"/>
        </w:trPr>
        <w:tc>
          <w:tcPr>
            <w:tcW w:w="2247" w:type="dxa"/>
            <w:shd w:val="clear" w:color="auto" w:fill="D9D9D9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697" w:type="dxa"/>
            <w:shd w:val="clear" w:color="auto" w:fill="D9D9D9"/>
          </w:tcPr>
          <w:p w:rsidR="00A967E1" w:rsidRPr="00E025DA" w:rsidRDefault="00A967E1" w:rsidP="00033B7B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Line</w:t>
            </w:r>
          </w:p>
        </w:tc>
        <w:tc>
          <w:tcPr>
            <w:tcW w:w="1908" w:type="dxa"/>
            <w:shd w:val="clear" w:color="auto" w:fill="D9D9D9"/>
          </w:tcPr>
          <w:p w:rsidR="00A967E1" w:rsidRPr="00E025DA" w:rsidRDefault="00A967E1" w:rsidP="00033B7B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Second Line</w:t>
            </w:r>
          </w:p>
        </w:tc>
        <w:tc>
          <w:tcPr>
            <w:tcW w:w="1908" w:type="dxa"/>
            <w:shd w:val="clear" w:color="auto" w:fill="D9D9D9"/>
          </w:tcPr>
          <w:p w:rsidR="00A967E1" w:rsidRDefault="00A967E1" w:rsidP="00033B7B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Equal Access</w:t>
            </w:r>
          </w:p>
        </w:tc>
      </w:tr>
      <w:tr w:rsidR="00A967E1" w:rsidRPr="00BC148C" w:rsidTr="00033B7B">
        <w:trPr>
          <w:trHeight w:val="705"/>
        </w:trPr>
        <w:tc>
          <w:tcPr>
            <w:tcW w:w="2247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Name and address of manufacturer/s of the pharmaceutical (including API manufacturer, manufacturer of final dose form, packaging etc)</w:t>
            </w:r>
          </w:p>
        </w:tc>
        <w:tc>
          <w:tcPr>
            <w:tcW w:w="1697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08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08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BC148C" w:rsidTr="00033B7B">
        <w:trPr>
          <w:trHeight w:val="273"/>
        </w:trPr>
        <w:tc>
          <w:tcPr>
            <w:tcW w:w="2247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Details on pharmaceutical manufacturing sites and their registration with Medsafe or other international regulatory body (e.g. TGA, FDA, MHRA)</w:t>
            </w:r>
          </w:p>
        </w:tc>
        <w:tc>
          <w:tcPr>
            <w:tcW w:w="1697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08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08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BC148C" w:rsidTr="00033B7B">
        <w:trPr>
          <w:trHeight w:val="273"/>
        </w:trPr>
        <w:tc>
          <w:tcPr>
            <w:tcW w:w="2247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Lead time</w:t>
            </w:r>
            <w:r>
              <w:rPr>
                <w:rFonts w:cs="Arial"/>
              </w:rPr>
              <w:t xml:space="preserve"> (</w:t>
            </w:r>
            <w:r w:rsidRPr="0053650C">
              <w:rPr>
                <w:rFonts w:cs="Arial"/>
                <w:sz w:val="20"/>
              </w:rPr>
              <w:t xml:space="preserve">Time from notification of award to product </w:t>
            </w:r>
            <w:r>
              <w:rPr>
                <w:rFonts w:cs="Arial"/>
                <w:sz w:val="20"/>
              </w:rPr>
              <w:t xml:space="preserve">being </w:t>
            </w:r>
            <w:r w:rsidRPr="0053650C">
              <w:rPr>
                <w:rFonts w:cs="Arial"/>
                <w:sz w:val="20"/>
              </w:rPr>
              <w:t xml:space="preserve">available </w:t>
            </w:r>
            <w:r>
              <w:rPr>
                <w:rFonts w:cs="Arial"/>
                <w:sz w:val="20"/>
              </w:rPr>
              <w:t>to supply</w:t>
            </w:r>
            <w:r w:rsidRPr="0053650C">
              <w:rPr>
                <w:rFonts w:cs="Arial"/>
                <w:sz w:val="20"/>
              </w:rPr>
              <w:t xml:space="preserve"> the New Zealand market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697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08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08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BC148C" w:rsidTr="00033B7B">
        <w:trPr>
          <w:trHeight w:val="260"/>
        </w:trPr>
        <w:tc>
          <w:tcPr>
            <w:tcW w:w="2247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size/s</w:t>
            </w:r>
          </w:p>
        </w:tc>
        <w:tc>
          <w:tcPr>
            <w:tcW w:w="1697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08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08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BC148C" w:rsidTr="00033B7B">
        <w:trPr>
          <w:trHeight w:val="273"/>
        </w:trPr>
        <w:tc>
          <w:tcPr>
            <w:tcW w:w="2247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1697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08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  <w:tc>
          <w:tcPr>
            <w:tcW w:w="1908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BC148C" w:rsidTr="00033B7B">
        <w:trPr>
          <w:trHeight w:val="273"/>
        </w:trPr>
        <w:tc>
          <w:tcPr>
            <w:tcW w:w="2247" w:type="dxa"/>
          </w:tcPr>
          <w:p w:rsidR="00A967E1" w:rsidRPr="00BC148C" w:rsidRDefault="00A967E1" w:rsidP="00033B7B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time for shipping</w:t>
            </w:r>
          </w:p>
        </w:tc>
        <w:tc>
          <w:tcPr>
            <w:tcW w:w="1697" w:type="dxa"/>
          </w:tcPr>
          <w:p w:rsidR="00A967E1" w:rsidRPr="00BC148C" w:rsidRDefault="00A967E1" w:rsidP="00033B7B">
            <w:pPr>
              <w:spacing w:after="60"/>
              <w:jc w:val="both"/>
              <w:rPr>
                <w:rFonts w:cs="Arial"/>
              </w:rPr>
            </w:pPr>
          </w:p>
        </w:tc>
        <w:tc>
          <w:tcPr>
            <w:tcW w:w="1908" w:type="dxa"/>
          </w:tcPr>
          <w:p w:rsidR="00A967E1" w:rsidRPr="00BC148C" w:rsidRDefault="00A967E1" w:rsidP="00033B7B">
            <w:pPr>
              <w:spacing w:after="60"/>
              <w:jc w:val="both"/>
              <w:rPr>
                <w:rFonts w:cs="Arial"/>
              </w:rPr>
            </w:pPr>
          </w:p>
        </w:tc>
        <w:tc>
          <w:tcPr>
            <w:tcW w:w="1908" w:type="dxa"/>
          </w:tcPr>
          <w:p w:rsidR="00A967E1" w:rsidRPr="00BC148C" w:rsidRDefault="00A967E1" w:rsidP="00033B7B">
            <w:pPr>
              <w:spacing w:after="60"/>
              <w:jc w:val="both"/>
              <w:rPr>
                <w:rFonts w:cs="Arial"/>
              </w:rPr>
            </w:pPr>
          </w:p>
        </w:tc>
      </w:tr>
    </w:tbl>
    <w:p w:rsidR="00A967E1" w:rsidRDefault="00A967E1" w:rsidP="00A967E1">
      <w:pPr>
        <w:keepNext/>
        <w:keepLines/>
        <w:ind w:left="1134"/>
        <w:jc w:val="both"/>
        <w:rPr>
          <w:rFonts w:cs="Arial"/>
        </w:rPr>
      </w:pPr>
    </w:p>
    <w:p w:rsidR="00A967E1" w:rsidRPr="00AE00DF" w:rsidRDefault="00A967E1" w:rsidP="00A967E1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Key features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A967E1" w:rsidRPr="00AE00DF" w:rsidTr="00033B7B">
        <w:trPr>
          <w:trHeight w:val="377"/>
        </w:trPr>
        <w:tc>
          <w:tcPr>
            <w:tcW w:w="7825" w:type="dxa"/>
            <w:shd w:val="clear" w:color="auto" w:fill="D9D9D9"/>
          </w:tcPr>
          <w:p w:rsidR="00A967E1" w:rsidRPr="00C67E0F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Line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1C5988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  <w:shd w:val="clear" w:color="auto" w:fill="D9D9D9"/>
          </w:tcPr>
          <w:p w:rsidR="00A967E1" w:rsidRPr="00C67E0F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Second Line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AE00DF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  <w:shd w:val="clear" w:color="auto" w:fill="D9D9D9"/>
          </w:tcPr>
          <w:p w:rsidR="00A967E1" w:rsidRPr="007527FB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 w:rsidRPr="007527FB">
              <w:rPr>
                <w:rFonts w:cs="Arial"/>
                <w:b/>
              </w:rPr>
              <w:t>Equal Access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AE00DF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:rsidR="00A967E1" w:rsidRPr="00AE00DF" w:rsidRDefault="00A967E1" w:rsidP="00A967E1">
      <w:pPr>
        <w:rPr>
          <w:rFonts w:cs="Arial"/>
        </w:rPr>
      </w:pPr>
    </w:p>
    <w:p w:rsidR="00A967E1" w:rsidRPr="00AE00DF" w:rsidRDefault="00A967E1" w:rsidP="00A967E1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Information relating to pricing ($NZ, GST exclusive), including any related conditions or proposed terms affecting cost for PHARMAC (e.g. price in return for sole supply, reference price protection, risk sharing mechanisms, etc.):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A967E1" w:rsidRPr="00AE00DF" w:rsidTr="00033B7B">
        <w:trPr>
          <w:trHeight w:val="377"/>
        </w:trPr>
        <w:tc>
          <w:tcPr>
            <w:tcW w:w="7825" w:type="dxa"/>
            <w:shd w:val="clear" w:color="auto" w:fill="D9D9D9"/>
          </w:tcPr>
          <w:p w:rsidR="00A967E1" w:rsidRPr="00C67E0F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Line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1C5988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  <w:shd w:val="clear" w:color="auto" w:fill="D9D9D9"/>
          </w:tcPr>
          <w:p w:rsidR="00A967E1" w:rsidRPr="00C67E0F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Second Line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AE00DF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  <w:shd w:val="clear" w:color="auto" w:fill="D9D9D9"/>
          </w:tcPr>
          <w:p w:rsidR="00A967E1" w:rsidRPr="007527FB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 w:rsidRPr="007527FB">
              <w:rPr>
                <w:rFonts w:cs="Arial"/>
                <w:b/>
              </w:rPr>
              <w:t>Equal Access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AE00DF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:rsidR="00A967E1" w:rsidRPr="00AE00DF" w:rsidRDefault="00A967E1" w:rsidP="00A967E1">
      <w:pPr>
        <w:rPr>
          <w:rFonts w:cs="Arial"/>
        </w:rPr>
      </w:pPr>
    </w:p>
    <w:p w:rsidR="00A967E1" w:rsidRPr="00AE00DF" w:rsidRDefault="00A967E1" w:rsidP="00A967E1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005"/>
      </w:tblGrid>
      <w:tr w:rsidR="00A967E1" w:rsidRPr="00AE00DF" w:rsidTr="00033B7B">
        <w:tc>
          <w:tcPr>
            <w:tcW w:w="4820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Date of market approval (please attach copy of Medsafe Gazette notice)</w:t>
            </w:r>
          </w:p>
        </w:tc>
        <w:tc>
          <w:tcPr>
            <w:tcW w:w="3005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c>
          <w:tcPr>
            <w:tcW w:w="4820" w:type="dxa"/>
          </w:tcPr>
          <w:p w:rsidR="00A967E1" w:rsidRPr="001A0937" w:rsidRDefault="00A967E1" w:rsidP="00033B7B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  <w:b/>
              </w:rPr>
              <w:t>OR</w:t>
            </w:r>
            <w:r w:rsidRPr="001A0937">
              <w:rPr>
                <w:rFonts w:cs="Arial"/>
              </w:rPr>
              <w:t xml:space="preserve"> Date of submission of dossier (please attach confirmation from Medsafe that dossier has been submitted)</w:t>
            </w:r>
          </w:p>
        </w:tc>
        <w:tc>
          <w:tcPr>
            <w:tcW w:w="3005" w:type="dxa"/>
          </w:tcPr>
          <w:p w:rsidR="00A967E1" w:rsidRPr="00AE00DF" w:rsidRDefault="00A967E1" w:rsidP="00033B7B">
            <w:pPr>
              <w:spacing w:after="60"/>
              <w:rPr>
                <w:rFonts w:cs="Arial"/>
              </w:rPr>
            </w:pPr>
          </w:p>
        </w:tc>
      </w:tr>
      <w:tr w:rsidR="00A967E1" w:rsidRPr="00AE00DF" w:rsidTr="00033B7B">
        <w:tc>
          <w:tcPr>
            <w:tcW w:w="4820" w:type="dxa"/>
          </w:tcPr>
          <w:p w:rsidR="00A967E1" w:rsidRPr="001A0937" w:rsidRDefault="00A967E1" w:rsidP="00033B7B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  <w:b/>
              </w:rPr>
              <w:t xml:space="preserve">OR </w:t>
            </w:r>
            <w:r w:rsidRPr="001A0937">
              <w:rPr>
                <w:rFonts w:cs="Arial"/>
              </w:rPr>
              <w:t>Expected date of dossier submission to Medsafe</w:t>
            </w:r>
          </w:p>
        </w:tc>
        <w:tc>
          <w:tcPr>
            <w:tcW w:w="3005" w:type="dxa"/>
          </w:tcPr>
          <w:p w:rsidR="00A967E1" w:rsidRPr="00AE00DF" w:rsidRDefault="00A967E1" w:rsidP="00033B7B">
            <w:pPr>
              <w:spacing w:after="60"/>
              <w:rPr>
                <w:rFonts w:cs="Arial"/>
                <w:b/>
                <w:i/>
              </w:rPr>
            </w:pPr>
          </w:p>
        </w:tc>
      </w:tr>
    </w:tbl>
    <w:p w:rsidR="00A967E1" w:rsidRPr="00AE00DF" w:rsidRDefault="00A967E1" w:rsidP="00A967E1">
      <w:pPr>
        <w:rPr>
          <w:rFonts w:cs="Arial"/>
          <w:b/>
          <w:i/>
        </w:rPr>
      </w:pPr>
    </w:p>
    <w:p w:rsidR="00A967E1" w:rsidRPr="00BC148C" w:rsidRDefault="00A967E1" w:rsidP="00A967E1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Confirmation that there are no intellectual property barriers (including patent barriers) to our supply of this product in New Zealand, with additional information if required: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A967E1" w:rsidRPr="00BC148C" w:rsidTr="00033B7B">
        <w:trPr>
          <w:trHeight w:val="1428"/>
        </w:trPr>
        <w:tc>
          <w:tcPr>
            <w:tcW w:w="7825" w:type="dxa"/>
          </w:tcPr>
          <w:p w:rsidR="00A967E1" w:rsidRPr="00BC148C" w:rsidRDefault="00A967E1" w:rsidP="00033B7B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A967E1" w:rsidRDefault="00A967E1" w:rsidP="00A967E1">
      <w:pPr>
        <w:keepNext/>
        <w:keepLines/>
        <w:ind w:left="1134"/>
        <w:jc w:val="both"/>
        <w:rPr>
          <w:rFonts w:cs="Arial"/>
        </w:rPr>
      </w:pPr>
    </w:p>
    <w:p w:rsidR="00A967E1" w:rsidRPr="00AE00DF" w:rsidRDefault="00A967E1" w:rsidP="00A967E1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Information about our ability to ensure the continuity of supply of the pharmaceutical</w:t>
      </w:r>
      <w:r>
        <w:rPr>
          <w:rFonts w:cs="Arial"/>
        </w:rPr>
        <w:t xml:space="preserve"> (if not currently supplying in New Zealand please detail any other markets which you supply your product)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A967E1" w:rsidRPr="00AE00DF" w:rsidTr="00033B7B">
        <w:tc>
          <w:tcPr>
            <w:tcW w:w="7825" w:type="dxa"/>
          </w:tcPr>
          <w:p w:rsidR="00A967E1" w:rsidRPr="00AE00DF" w:rsidRDefault="00A967E1" w:rsidP="00033B7B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A967E1" w:rsidRPr="00AE00DF" w:rsidRDefault="00A967E1" w:rsidP="00A967E1">
      <w:pPr>
        <w:rPr>
          <w:rFonts w:cs="Arial"/>
        </w:rPr>
      </w:pPr>
    </w:p>
    <w:p w:rsidR="00A967E1" w:rsidRPr="00BC148C" w:rsidRDefault="00A967E1" w:rsidP="00A967E1">
      <w:pPr>
        <w:numPr>
          <w:ilvl w:val="0"/>
          <w:numId w:val="1"/>
        </w:numPr>
        <w:jc w:val="both"/>
        <w:rPr>
          <w:rFonts w:cs="Arial"/>
          <w:b/>
          <w:i/>
        </w:rPr>
      </w:pPr>
      <w:r w:rsidRPr="00BC148C">
        <w:rPr>
          <w:rFonts w:cs="Arial"/>
        </w:rPr>
        <w:t>Information about our previous supply performance, existing supply commitments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A967E1" w:rsidRPr="00AE00DF" w:rsidTr="00033B7B">
        <w:tc>
          <w:tcPr>
            <w:tcW w:w="7825" w:type="dxa"/>
          </w:tcPr>
          <w:p w:rsidR="00A967E1" w:rsidRPr="00AE00DF" w:rsidRDefault="00A967E1" w:rsidP="00033B7B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:rsidR="00A967E1" w:rsidRPr="00AE00DF" w:rsidRDefault="00A967E1" w:rsidP="00A967E1">
      <w:pPr>
        <w:jc w:val="both"/>
        <w:rPr>
          <w:rFonts w:cs="Arial"/>
          <w:b/>
          <w:i/>
        </w:rPr>
      </w:pPr>
    </w:p>
    <w:p w:rsidR="00A967E1" w:rsidRPr="00AE00DF" w:rsidRDefault="00A967E1" w:rsidP="00A967E1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Proposals/suggestions (e.g. pricing, risk sharing arrangements, etc</w:t>
      </w:r>
      <w:r>
        <w:rPr>
          <w:rFonts w:cs="Arial"/>
        </w:rPr>
        <w:t>.</w:t>
      </w:r>
      <w:r w:rsidRPr="00AE00DF">
        <w:rPr>
          <w:rFonts w:cs="Arial"/>
        </w:rPr>
        <w:t>) regarding the pharmaceutical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A967E1" w:rsidRPr="00AE00DF" w:rsidTr="00033B7B">
        <w:trPr>
          <w:trHeight w:val="377"/>
        </w:trPr>
        <w:tc>
          <w:tcPr>
            <w:tcW w:w="7825" w:type="dxa"/>
            <w:shd w:val="clear" w:color="auto" w:fill="D9D9D9"/>
          </w:tcPr>
          <w:p w:rsidR="00A967E1" w:rsidRPr="00C67E0F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Line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1C5988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  <w:shd w:val="clear" w:color="auto" w:fill="D9D9D9"/>
          </w:tcPr>
          <w:p w:rsidR="00A967E1" w:rsidRPr="00C67E0F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Second Line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AE00DF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  <w:shd w:val="clear" w:color="auto" w:fill="D9D9D9"/>
          </w:tcPr>
          <w:p w:rsidR="00A967E1" w:rsidRPr="007527FB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 w:rsidRPr="007527FB">
              <w:rPr>
                <w:rFonts w:cs="Arial"/>
                <w:b/>
              </w:rPr>
              <w:t>Equal Access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AE00DF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:rsidR="00A967E1" w:rsidRPr="00AE00DF" w:rsidRDefault="00A967E1" w:rsidP="00A967E1">
      <w:pPr>
        <w:rPr>
          <w:rFonts w:cs="Arial"/>
        </w:rPr>
      </w:pPr>
    </w:p>
    <w:p w:rsidR="00A967E1" w:rsidRPr="00AE00DF" w:rsidRDefault="00A967E1" w:rsidP="00A967E1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Reasons why PHARMAC should accept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A967E1" w:rsidRPr="00AE00DF" w:rsidTr="00033B7B">
        <w:trPr>
          <w:trHeight w:val="377"/>
        </w:trPr>
        <w:tc>
          <w:tcPr>
            <w:tcW w:w="7825" w:type="dxa"/>
            <w:shd w:val="clear" w:color="auto" w:fill="D9D9D9"/>
          </w:tcPr>
          <w:p w:rsidR="00A967E1" w:rsidRPr="00C67E0F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First Line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1C5988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  <w:shd w:val="clear" w:color="auto" w:fill="D9D9D9"/>
          </w:tcPr>
          <w:p w:rsidR="00A967E1" w:rsidRPr="00C67E0F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Second Line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AE00DF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  <w:shd w:val="clear" w:color="auto" w:fill="D9D9D9"/>
          </w:tcPr>
          <w:p w:rsidR="00A967E1" w:rsidRPr="007527FB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 w:rsidRPr="007527FB">
              <w:rPr>
                <w:rFonts w:cs="Arial"/>
                <w:b/>
              </w:rPr>
              <w:t>Equal Access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AE00DF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:rsidR="00A967E1" w:rsidRPr="00AE00DF" w:rsidRDefault="00A967E1" w:rsidP="00A967E1">
      <w:pPr>
        <w:rPr>
          <w:rFonts w:cs="Arial"/>
        </w:rPr>
      </w:pPr>
    </w:p>
    <w:p w:rsidR="00A967E1" w:rsidRPr="00AE00DF" w:rsidRDefault="00A967E1" w:rsidP="00A967E1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Additional information that PHARMAC should consider when evaluating our proposal</w:t>
      </w:r>
      <w:r>
        <w:rPr>
          <w:rFonts w:cs="Arial"/>
        </w:rPr>
        <w:t xml:space="preserve"> [Please include information you consider relevant under PHARMAC’s </w:t>
      </w:r>
      <w:hyperlink r:id="rId9" w:history="1">
        <w:r w:rsidRPr="00BC148C">
          <w:rPr>
            <w:rStyle w:val="Hyperlink"/>
            <w:rFonts w:cs="Arial"/>
            <w:sz w:val="21"/>
            <w:szCs w:val="21"/>
          </w:rPr>
          <w:t>Factors for Consideration</w:t>
        </w:r>
      </w:hyperlink>
      <w:r>
        <w:rPr>
          <w:rFonts w:cs="Arial"/>
        </w:rPr>
        <w:t xml:space="preserve"> decision making framework]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A967E1" w:rsidRPr="00AE00DF" w:rsidTr="00033B7B">
        <w:trPr>
          <w:trHeight w:val="377"/>
        </w:trPr>
        <w:tc>
          <w:tcPr>
            <w:tcW w:w="7825" w:type="dxa"/>
            <w:shd w:val="clear" w:color="auto" w:fill="D9D9D9"/>
          </w:tcPr>
          <w:p w:rsidR="00A967E1" w:rsidRPr="00C67E0F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Line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1C5988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  <w:shd w:val="clear" w:color="auto" w:fill="D9D9D9"/>
          </w:tcPr>
          <w:p w:rsidR="00A967E1" w:rsidRPr="00C67E0F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Second Line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AE00DF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  <w:shd w:val="clear" w:color="auto" w:fill="D9D9D9"/>
          </w:tcPr>
          <w:p w:rsidR="00A967E1" w:rsidRPr="007527FB" w:rsidRDefault="00A967E1" w:rsidP="00033B7B">
            <w:pPr>
              <w:keepNext/>
              <w:keepLines/>
              <w:spacing w:after="0"/>
              <w:rPr>
                <w:rFonts w:cs="Arial"/>
                <w:b/>
              </w:rPr>
            </w:pPr>
            <w:r w:rsidRPr="007527FB">
              <w:rPr>
                <w:rFonts w:cs="Arial"/>
                <w:b/>
              </w:rPr>
              <w:t>Equal Access</w:t>
            </w:r>
          </w:p>
        </w:tc>
      </w:tr>
      <w:tr w:rsidR="00A967E1" w:rsidRPr="00AE00DF" w:rsidTr="00033B7B">
        <w:trPr>
          <w:trHeight w:val="405"/>
        </w:trPr>
        <w:tc>
          <w:tcPr>
            <w:tcW w:w="7825" w:type="dxa"/>
          </w:tcPr>
          <w:p w:rsidR="00A967E1" w:rsidRPr="00AE00DF" w:rsidRDefault="00A967E1" w:rsidP="00033B7B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:rsidR="00A967E1" w:rsidRPr="00AE00DF" w:rsidRDefault="00A967E1" w:rsidP="00A967E1">
      <w:pPr>
        <w:ind w:left="1134"/>
        <w:jc w:val="both"/>
        <w:rPr>
          <w:rFonts w:cs="Arial"/>
        </w:rPr>
      </w:pPr>
    </w:p>
    <w:p w:rsidR="004C6484" w:rsidRPr="00C87F1A" w:rsidRDefault="004C6484">
      <w:pPr>
        <w:rPr>
          <w:rFonts w:cs="Arial"/>
          <w:szCs w:val="22"/>
        </w:rPr>
      </w:pPr>
      <w:bookmarkStart w:id="0" w:name="_GoBack"/>
      <w:bookmarkEnd w:id="0"/>
    </w:p>
    <w:sectPr w:rsidR="004C6484" w:rsidRPr="00C87F1A" w:rsidSect="00D220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54" w:rsidRDefault="00947B54">
      <w:r>
        <w:separator/>
      </w:r>
    </w:p>
  </w:endnote>
  <w:endnote w:type="continuationSeparator" w:id="0">
    <w:p w:rsidR="00947B54" w:rsidRDefault="0094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D22024">
      <w:rPr>
        <w:rFonts w:cs="Arial"/>
        <w:sz w:val="16"/>
        <w:szCs w:val="16"/>
      </w:rPr>
      <w:t>A964180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A967E1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54" w:rsidRDefault="00947B54">
      <w:r>
        <w:separator/>
      </w:r>
    </w:p>
  </w:footnote>
  <w:footnote w:type="continuationSeparator" w:id="0">
    <w:p w:rsidR="00947B54" w:rsidRDefault="0094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E1"/>
    <w:rsid w:val="00151C3B"/>
    <w:rsid w:val="001A3329"/>
    <w:rsid w:val="001D2BE9"/>
    <w:rsid w:val="002C4A8A"/>
    <w:rsid w:val="00346E4D"/>
    <w:rsid w:val="003619FA"/>
    <w:rsid w:val="003B63F9"/>
    <w:rsid w:val="004C6484"/>
    <w:rsid w:val="00501BDA"/>
    <w:rsid w:val="00736168"/>
    <w:rsid w:val="0091435B"/>
    <w:rsid w:val="00947B54"/>
    <w:rsid w:val="00A967E1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8D7A20-4C79-47EE-9572-21276FC6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E1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7E1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A967E1"/>
    <w:rPr>
      <w:rFonts w:ascii="Arial" w:hAnsi="Arial"/>
      <w:b/>
      <w:sz w:val="22"/>
      <w:lang w:eastAsia="en-US"/>
    </w:rPr>
  </w:style>
  <w:style w:type="character" w:styleId="Hyperlink">
    <w:name w:val="Hyperlink"/>
    <w:rsid w:val="00A967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harmac.govt.n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harmac.govt.nz/medicines/how-medicines-are-funded/factors-for-consideratio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Ellis</dc:creator>
  <cp:keywords/>
  <dc:description/>
  <cp:lastModifiedBy>Kim Ellis</cp:lastModifiedBy>
  <cp:revision>1</cp:revision>
  <dcterms:created xsi:type="dcterms:W3CDTF">2017-07-19T02:38:00Z</dcterms:created>
  <dcterms:modified xsi:type="dcterms:W3CDTF">2017-07-19T02:40:00Z</dcterms:modified>
</cp:coreProperties>
</file>