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1" w:rsidRPr="00AE00DF" w:rsidRDefault="001A5BA1" w:rsidP="001A5BA1">
      <w:pPr>
        <w:pStyle w:val="Heading1"/>
        <w:jc w:val="both"/>
        <w:rPr>
          <w:rFonts w:cs="Arial"/>
        </w:rPr>
      </w:pPr>
      <w:bookmarkStart w:id="0" w:name="_GoBack"/>
      <w:bookmarkEnd w:id="0"/>
      <w:r w:rsidRPr="00AE00DF">
        <w:rPr>
          <w:rFonts w:cs="Arial"/>
        </w:rPr>
        <w:t>Schedule 4: Proposal form</w:t>
      </w:r>
    </w:p>
    <w:p w:rsidR="001A5BA1" w:rsidRDefault="001A5BA1" w:rsidP="001A5BA1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7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:rsidR="001A5BA1" w:rsidRPr="00AE00DF" w:rsidRDefault="001A5BA1" w:rsidP="001A5BA1">
      <w:pPr>
        <w:jc w:val="both"/>
        <w:rPr>
          <w:rFonts w:cs="Arial"/>
        </w:rPr>
      </w:pPr>
      <w:r w:rsidRPr="000A3FE9">
        <w:rPr>
          <w:rFonts w:cs="Arial"/>
          <w:b/>
        </w:rPr>
        <w:t>[</w:t>
      </w:r>
      <w:r w:rsidRPr="005C0803">
        <w:rPr>
          <w:rFonts w:cs="Arial"/>
          <w:b/>
          <w:i/>
          <w:highlight w:val="yellow"/>
        </w:rPr>
        <w:t>Supplier to insert date</w:t>
      </w:r>
      <w:r w:rsidRPr="005C0803">
        <w:rPr>
          <w:rFonts w:cs="Arial"/>
          <w:b/>
        </w:rPr>
        <w:t>]</w:t>
      </w:r>
    </w:p>
    <w:p w:rsidR="001A5BA1" w:rsidRDefault="001A5BA1" w:rsidP="001A5BA1">
      <w:pPr>
        <w:spacing w:after="0"/>
        <w:rPr>
          <w:rFonts w:cs="Arial"/>
        </w:rPr>
      </w:pPr>
      <w:r>
        <w:rPr>
          <w:rFonts w:cs="Arial"/>
        </w:rPr>
        <w:t>Director of Operations</w:t>
      </w:r>
    </w:p>
    <w:p w:rsidR="001A5BA1" w:rsidRDefault="001A5BA1" w:rsidP="001A5BA1">
      <w:pPr>
        <w:spacing w:after="0"/>
        <w:rPr>
          <w:rFonts w:cs="Arial"/>
        </w:rPr>
      </w:pPr>
      <w:r>
        <w:rPr>
          <w:rFonts w:cs="Arial"/>
        </w:rPr>
        <w:t>PHARMAC</w:t>
      </w:r>
      <w:r>
        <w:rPr>
          <w:rFonts w:cs="Arial"/>
        </w:rPr>
        <w:br/>
        <w:t>C/- Jeremy Price</w:t>
      </w:r>
    </w:p>
    <w:p w:rsidR="001A5BA1" w:rsidRDefault="001A5BA1" w:rsidP="001A5BA1">
      <w:pPr>
        <w:spacing w:after="0"/>
        <w:rPr>
          <w:rFonts w:cs="Arial"/>
        </w:rPr>
      </w:pPr>
    </w:p>
    <w:p w:rsidR="001A5BA1" w:rsidRDefault="001A5BA1" w:rsidP="001A5BA1">
      <w:pPr>
        <w:spacing w:after="0"/>
        <w:rPr>
          <w:rFonts w:cs="Arial"/>
        </w:rPr>
      </w:pPr>
      <w:r>
        <w:rPr>
          <w:rFonts w:cs="Arial"/>
        </w:rPr>
        <w:t>By electronic transfer using GETS (</w:t>
      </w:r>
      <w:hyperlink r:id="rId8" w:history="1">
        <w:r w:rsidRPr="00892496">
          <w:rPr>
            <w:rStyle w:val="Hyperlink"/>
            <w:rFonts w:cs="Arial"/>
          </w:rPr>
          <w:t>https://www.gets.govt.nz</w:t>
        </w:r>
      </w:hyperlink>
      <w:r>
        <w:rPr>
          <w:rFonts w:cs="Arial"/>
        </w:rPr>
        <w:t xml:space="preserve">) </w:t>
      </w:r>
      <w:r w:rsidRPr="00AE00DF">
        <w:rPr>
          <w:rFonts w:cs="Arial"/>
        </w:rPr>
        <w:br/>
      </w:r>
    </w:p>
    <w:p w:rsidR="001A5BA1" w:rsidRPr="00AE00DF" w:rsidRDefault="001A5BA1" w:rsidP="001A5BA1">
      <w:pPr>
        <w:spacing w:after="0"/>
        <w:rPr>
          <w:rFonts w:cs="Arial"/>
        </w:rPr>
      </w:pPr>
    </w:p>
    <w:p w:rsidR="001A5BA1" w:rsidRPr="00AE00DF" w:rsidRDefault="001A5BA1" w:rsidP="001A5BA1">
      <w:pPr>
        <w:rPr>
          <w:rFonts w:cs="Arial"/>
        </w:rPr>
      </w:pPr>
      <w:r w:rsidRPr="00AE00DF">
        <w:rPr>
          <w:rFonts w:cs="Arial"/>
        </w:rPr>
        <w:t>Dear Sir/Madam</w:t>
      </w:r>
    </w:p>
    <w:p w:rsidR="001A5BA1" w:rsidRPr="00AE00DF" w:rsidRDefault="001A5BA1" w:rsidP="001A5BA1">
      <w:pPr>
        <w:rPr>
          <w:rFonts w:cs="Arial"/>
        </w:rPr>
      </w:pPr>
      <w:r w:rsidRPr="00AE00DF">
        <w:rPr>
          <w:rFonts w:cs="Arial"/>
          <w:b/>
        </w:rPr>
        <w:t>Proposal for the supply of</w:t>
      </w:r>
      <w:r>
        <w:rPr>
          <w:rFonts w:cs="Arial"/>
          <w:b/>
        </w:rPr>
        <w:t xml:space="preserve"> Apomorphine, Infusion Pumps and associated consumables – commercial in confidence </w:t>
      </w:r>
    </w:p>
    <w:p w:rsidR="001A5BA1" w:rsidRPr="00AE00DF" w:rsidRDefault="001A5BA1" w:rsidP="001A5BA1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>
        <w:rPr>
          <w:rFonts w:cs="Arial"/>
        </w:rPr>
        <w:t xml:space="preserve">10 May 2019 </w:t>
      </w:r>
      <w:r w:rsidRPr="00AE00DF">
        <w:rPr>
          <w:rFonts w:cs="Arial"/>
        </w:rPr>
        <w:t xml:space="preserve">we put forward the following proposal in respect of </w:t>
      </w:r>
      <w:r>
        <w:rPr>
          <w:rFonts w:cs="Arial"/>
        </w:rPr>
        <w:t xml:space="preserve">the supply of the Pharmaceutical (as defined in the RFP). </w:t>
      </w:r>
      <w:r w:rsidRPr="00AE00DF">
        <w:rPr>
          <w:rFonts w:cs="Arial"/>
        </w:rPr>
        <w:t>Set out below is further information in support of our proposal.</w:t>
      </w:r>
    </w:p>
    <w:p w:rsidR="001A5BA1" w:rsidRPr="00AE00DF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415"/>
      </w:tblGrid>
      <w:tr w:rsidR="001A5BA1" w:rsidRPr="00AE00DF" w:rsidTr="00EC2EB1">
        <w:tc>
          <w:tcPr>
            <w:tcW w:w="2552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5415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2552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5415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2552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415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2552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415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2552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415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2552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415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</w:tbl>
    <w:p w:rsidR="001A5BA1" w:rsidRPr="00AE00DF" w:rsidRDefault="001A5BA1" w:rsidP="001A5BA1">
      <w:pPr>
        <w:rPr>
          <w:rFonts w:cs="Arial"/>
        </w:rPr>
      </w:pPr>
    </w:p>
    <w:p w:rsidR="001A5BA1" w:rsidRPr="00AE00DF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Details of </w:t>
      </w:r>
      <w:r>
        <w:rPr>
          <w:rFonts w:cs="Arial"/>
        </w:rPr>
        <w:t>Apomorphine</w:t>
      </w:r>
      <w:r w:rsidRPr="00AE00DF">
        <w:rPr>
          <w:rFonts w:cs="Arial"/>
        </w:rPr>
        <w:t xml:space="preserve"> presentation</w:t>
      </w:r>
      <w:r>
        <w:rPr>
          <w:rFonts w:cs="Arial"/>
        </w:rPr>
        <w:t>(s)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706"/>
      </w:tblGrid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F614FD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</w:rPr>
              <w:t xml:space="preserve">Strength e.g. </w:t>
            </w:r>
            <w:r>
              <w:rPr>
                <w:rFonts w:cs="Arial"/>
              </w:rPr>
              <w:t>10mg per ml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F614FD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</w:rPr>
              <w:t xml:space="preserve">Forms (e.g. </w:t>
            </w:r>
            <w:r>
              <w:rPr>
                <w:rFonts w:cs="Arial"/>
              </w:rPr>
              <w:t>ampoule/ vial</w:t>
            </w:r>
            <w:r w:rsidRPr="00F614FD">
              <w:rPr>
                <w:rFonts w:cs="Arial"/>
              </w:rPr>
              <w:t>)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F614FD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</w:rPr>
              <w:t>Brand name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rPr>
          <w:trHeight w:val="453"/>
        </w:trPr>
        <w:tc>
          <w:tcPr>
            <w:tcW w:w="3261" w:type="dxa"/>
          </w:tcPr>
          <w:p w:rsidR="001A5BA1" w:rsidRPr="00F614FD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5 vials</w:t>
            </w:r>
            <w:r w:rsidRPr="00F614FD">
              <w:rPr>
                <w:rFonts w:cs="Arial"/>
              </w:rPr>
              <w:t>)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rPr>
          <w:trHeight w:val="557"/>
        </w:trPr>
        <w:tc>
          <w:tcPr>
            <w:tcW w:w="3261" w:type="dxa"/>
          </w:tcPr>
          <w:p w:rsidR="001A5BA1" w:rsidRPr="00F614FD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</w:rPr>
              <w:t xml:space="preserve">Packaging type </w:t>
            </w:r>
            <w:r>
              <w:rPr>
                <w:rFonts w:cs="Arial"/>
              </w:rPr>
              <w:t>(</w:t>
            </w:r>
            <w:r w:rsidRPr="00F614FD">
              <w:rPr>
                <w:rFonts w:cs="Arial"/>
              </w:rPr>
              <w:t>e.g.</w:t>
            </w:r>
            <w:r>
              <w:rPr>
                <w:rFonts w:cs="Arial"/>
              </w:rPr>
              <w:t xml:space="preserve"> prefilled syringe)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rPr>
          <w:trHeight w:val="1124"/>
        </w:trPr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Shelf life (</w:t>
            </w:r>
            <w:r w:rsidRPr="00BC148C">
              <w:rPr>
                <w:rFonts w:cs="Arial"/>
              </w:rPr>
              <w:t>e.g. 36 months from date of manufacture stored at or below 30°C)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</w:tbl>
    <w:p w:rsidR="001A5BA1" w:rsidRPr="00AE00DF" w:rsidRDefault="001A5BA1" w:rsidP="001A5BA1">
      <w:pPr>
        <w:rPr>
          <w:rFonts w:cs="Arial"/>
        </w:rPr>
      </w:pPr>
    </w:p>
    <w:p w:rsidR="001A5BA1" w:rsidRPr="00BC148C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 xml:space="preserve">Details of </w:t>
      </w:r>
      <w:r>
        <w:rPr>
          <w:rFonts w:cs="Arial"/>
        </w:rPr>
        <w:t>P</w:t>
      </w:r>
      <w:r w:rsidRPr="00BC148C">
        <w:rPr>
          <w:rFonts w:cs="Arial"/>
        </w:rPr>
        <w:t>harmaceutical manufacture</w:t>
      </w:r>
      <w:r>
        <w:rPr>
          <w:rFonts w:cs="Arial"/>
        </w:rPr>
        <w:t xml:space="preserve"> (Apomorphine &amp; Infusion Pumps)</w:t>
      </w:r>
      <w:r w:rsidRPr="00BC148C">
        <w:rPr>
          <w:rFonts w:cs="Arial"/>
        </w:rPr>
        <w:t>:</w:t>
      </w:r>
    </w:p>
    <w:tbl>
      <w:tblPr>
        <w:tblW w:w="796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962"/>
      </w:tblGrid>
      <w:tr w:rsidR="001A5BA1" w:rsidRPr="00BC148C" w:rsidTr="00EC2EB1">
        <w:trPr>
          <w:trHeight w:val="743"/>
        </w:trPr>
        <w:tc>
          <w:tcPr>
            <w:tcW w:w="3005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962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BC148C" w:rsidTr="00EC2EB1">
        <w:trPr>
          <w:trHeight w:val="288"/>
        </w:trPr>
        <w:tc>
          <w:tcPr>
            <w:tcW w:w="3005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  <w:r>
              <w:rPr>
                <w:rFonts w:cs="Arial"/>
              </w:rPr>
              <w:t xml:space="preserve"> (</w:t>
            </w:r>
            <w:r w:rsidRPr="00BB1A03">
              <w:rPr>
                <w:rFonts w:cs="Arial"/>
              </w:rPr>
              <w:t>Time from notification of award to product being available to supply the New Zealand market)</w:t>
            </w:r>
          </w:p>
        </w:tc>
        <w:tc>
          <w:tcPr>
            <w:tcW w:w="4962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BC148C" w:rsidTr="00EC2EB1">
        <w:trPr>
          <w:trHeight w:val="1210"/>
        </w:trPr>
        <w:tc>
          <w:tcPr>
            <w:tcW w:w="3005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4962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BC148C" w:rsidTr="00EC2EB1">
        <w:trPr>
          <w:trHeight w:val="274"/>
        </w:trPr>
        <w:tc>
          <w:tcPr>
            <w:tcW w:w="3005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962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BC148C" w:rsidTr="00EC2EB1">
        <w:trPr>
          <w:trHeight w:val="288"/>
        </w:trPr>
        <w:tc>
          <w:tcPr>
            <w:tcW w:w="3005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962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BC148C" w:rsidTr="00EC2EB1">
        <w:trPr>
          <w:trHeight w:val="288"/>
        </w:trPr>
        <w:tc>
          <w:tcPr>
            <w:tcW w:w="3005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Approximate time for shipping</w:t>
            </w:r>
          </w:p>
        </w:tc>
        <w:tc>
          <w:tcPr>
            <w:tcW w:w="4962" w:type="dxa"/>
          </w:tcPr>
          <w:p w:rsidR="001A5BA1" w:rsidRPr="00BC148C" w:rsidRDefault="001A5BA1" w:rsidP="00EC2EB1">
            <w:pPr>
              <w:spacing w:after="60"/>
              <w:rPr>
                <w:rFonts w:cs="Arial"/>
              </w:rPr>
            </w:pPr>
          </w:p>
        </w:tc>
      </w:tr>
    </w:tbl>
    <w:p w:rsidR="001A5BA1" w:rsidRDefault="001A5BA1" w:rsidP="001A5BA1">
      <w:pPr>
        <w:keepNext/>
        <w:keepLines/>
        <w:jc w:val="both"/>
        <w:rPr>
          <w:rFonts w:cs="Arial"/>
        </w:rPr>
      </w:pPr>
      <w:r>
        <w:rPr>
          <w:rFonts w:cs="Arial"/>
        </w:rPr>
        <w:tab/>
      </w:r>
    </w:p>
    <w:p w:rsidR="001A5BA1" w:rsidRPr="00536C76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</w:t>
      </w:r>
      <w:r>
        <w:rPr>
          <w:rFonts w:cs="Arial"/>
        </w:rPr>
        <w:t xml:space="preserve"> Infusion Pump(s) </w:t>
      </w:r>
      <w:r w:rsidRPr="00AE00DF">
        <w:rPr>
          <w:rFonts w:cs="Arial"/>
        </w:rPr>
        <w:t>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706"/>
      </w:tblGrid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Product </w:t>
            </w:r>
            <w:r w:rsidRPr="00AE00DF">
              <w:rPr>
                <w:rFonts w:cs="Arial"/>
              </w:rPr>
              <w:t>name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Brand name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Guarantee period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Maintenance requirements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Batteries number and type 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Dedicated pump syringe (where applicable)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Functions (e.g. flow rates, bolus size, battery life)</w:t>
            </w:r>
          </w:p>
        </w:tc>
        <w:tc>
          <w:tcPr>
            <w:tcW w:w="4706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List standard equipment supplied with pump </w:t>
            </w:r>
          </w:p>
        </w:tc>
        <w:tc>
          <w:tcPr>
            <w:tcW w:w="4706" w:type="dxa"/>
          </w:tcPr>
          <w:p w:rsidR="001A5BA1" w:rsidRDefault="001A5BA1" w:rsidP="00EC2EB1">
            <w:pPr>
              <w:spacing w:after="60"/>
              <w:rPr>
                <w:rFonts w:cs="Arial"/>
              </w:rPr>
            </w:pPr>
          </w:p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3261" w:type="dxa"/>
          </w:tcPr>
          <w:p w:rsidR="001A5BA1" w:rsidRDefault="001A5BA1" w:rsidP="00EC2EB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What International or New Zealand recognised Electrical Standard does the pump meet</w:t>
            </w:r>
          </w:p>
        </w:tc>
        <w:tc>
          <w:tcPr>
            <w:tcW w:w="4706" w:type="dxa"/>
          </w:tcPr>
          <w:p w:rsidR="001A5BA1" w:rsidRDefault="001A5BA1" w:rsidP="00EC2EB1">
            <w:pPr>
              <w:spacing w:after="60"/>
              <w:rPr>
                <w:rFonts w:cs="Arial"/>
              </w:rPr>
            </w:pPr>
          </w:p>
        </w:tc>
      </w:tr>
    </w:tbl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Pr="00AE00DF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Evidence of market approval and any other required consents</w:t>
      </w:r>
      <w:r>
        <w:rPr>
          <w:rFonts w:cs="Arial"/>
        </w:rPr>
        <w:t xml:space="preserve"> for the Infusion Pump</w:t>
      </w:r>
      <w:r w:rsidRPr="00AE00DF">
        <w:rPr>
          <w:rFonts w:cs="Arial"/>
        </w:rPr>
        <w:t>:</w:t>
      </w:r>
    </w:p>
    <w:tbl>
      <w:tblPr>
        <w:tblW w:w="431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8"/>
      </w:tblGrid>
      <w:tr w:rsidR="001A5BA1" w:rsidRPr="00AE00DF" w:rsidTr="00EC2EB1">
        <w:tc>
          <w:tcPr>
            <w:tcW w:w="5000" w:type="pct"/>
          </w:tcPr>
          <w:p w:rsidR="001A5BA1" w:rsidRDefault="001A5BA1" w:rsidP="00EC2EB1">
            <w:pPr>
              <w:spacing w:after="60"/>
              <w:ind w:right="-42"/>
              <w:jc w:val="both"/>
              <w:rPr>
                <w:rFonts w:cs="Arial"/>
                <w:color w:val="000000"/>
              </w:rPr>
            </w:pPr>
            <w:r w:rsidRPr="00C94CF1">
              <w:rPr>
                <w:rFonts w:cs="Arial"/>
                <w:color w:val="000000"/>
              </w:rPr>
              <w:t>Date of Notification to WAND database</w:t>
            </w:r>
            <w:r>
              <w:rPr>
                <w:rFonts w:cs="Arial"/>
                <w:color w:val="000000"/>
              </w:rPr>
              <w:t>. CE, ARTG certificates</w:t>
            </w:r>
          </w:p>
          <w:p w:rsidR="001A5BA1" w:rsidRDefault="001A5BA1" w:rsidP="00EC2EB1">
            <w:pPr>
              <w:spacing w:after="60"/>
              <w:ind w:right="-42"/>
              <w:jc w:val="both"/>
              <w:rPr>
                <w:rFonts w:cs="Arial"/>
                <w:color w:val="000000"/>
              </w:rPr>
            </w:pPr>
          </w:p>
          <w:p w:rsidR="001A5BA1" w:rsidRPr="00C94CF1" w:rsidRDefault="001A5BA1" w:rsidP="00EC2EB1">
            <w:pPr>
              <w:spacing w:after="60"/>
              <w:ind w:right="-42"/>
              <w:jc w:val="both"/>
              <w:rPr>
                <w:rFonts w:cs="Arial"/>
              </w:rPr>
            </w:pPr>
          </w:p>
        </w:tc>
      </w:tr>
    </w:tbl>
    <w:p w:rsidR="001A5BA1" w:rsidRDefault="001A5BA1" w:rsidP="001A5BA1">
      <w:pPr>
        <w:jc w:val="both"/>
        <w:rPr>
          <w:rFonts w:cs="Arial"/>
        </w:rPr>
      </w:pPr>
    </w:p>
    <w:p w:rsidR="001A5BA1" w:rsidRPr="00120CB1" w:rsidRDefault="001A5BA1" w:rsidP="001A5BA1">
      <w:pPr>
        <w:keepNext/>
        <w:keepLines/>
        <w:jc w:val="both"/>
        <w:rPr>
          <w:rFonts w:cs="Arial"/>
        </w:rPr>
      </w:pPr>
    </w:p>
    <w:p w:rsidR="001A5BA1" w:rsidRPr="00AE00DF" w:rsidRDefault="001A5BA1" w:rsidP="001A5BA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</w:tblGrid>
      <w:tr w:rsidR="001A5BA1" w:rsidRPr="00AE00DF" w:rsidTr="00EC2EB1">
        <w:tc>
          <w:tcPr>
            <w:tcW w:w="7967" w:type="dxa"/>
          </w:tcPr>
          <w:p w:rsidR="001A5BA1" w:rsidRPr="00AE00DF" w:rsidRDefault="001A5BA1" w:rsidP="00EC2EB1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1A5BA1" w:rsidRPr="00AE00DF" w:rsidRDefault="001A5BA1" w:rsidP="001A5BA1">
      <w:pPr>
        <w:rPr>
          <w:rFonts w:cs="Arial"/>
        </w:rPr>
      </w:pPr>
    </w:p>
    <w:p w:rsidR="001A5BA1" w:rsidRPr="00AE00DF" w:rsidRDefault="001A5BA1" w:rsidP="001A5BA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3"/>
        <w:gridCol w:w="3984"/>
      </w:tblGrid>
      <w:tr w:rsidR="001A5BA1" w:rsidRPr="00AE00DF" w:rsidTr="00EC2EB1">
        <w:trPr>
          <w:trHeight w:val="1604"/>
        </w:trPr>
        <w:tc>
          <w:tcPr>
            <w:tcW w:w="3983" w:type="dxa"/>
          </w:tcPr>
          <w:p w:rsidR="001A5BA1" w:rsidRPr="00BB3B3B" w:rsidRDefault="001A5BA1" w:rsidP="00EC2EB1">
            <w:pPr>
              <w:keepNext/>
              <w:keepLines/>
              <w:spacing w:after="24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B3B3B">
              <w:rPr>
                <w:rFonts w:cs="Arial"/>
              </w:rPr>
              <w:t>pomorphine</w:t>
            </w:r>
            <w:r>
              <w:rPr>
                <w:rFonts w:cs="Arial"/>
              </w:rPr>
              <w:t xml:space="preserve"> and Infusion Pump (Mandatory)</w:t>
            </w:r>
          </w:p>
        </w:tc>
        <w:tc>
          <w:tcPr>
            <w:tcW w:w="3984" w:type="dxa"/>
          </w:tcPr>
          <w:p w:rsidR="001A5BA1" w:rsidRPr="00AE00DF" w:rsidRDefault="001A5BA1" w:rsidP="00EC2EB1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  <w:tr w:rsidR="001A5BA1" w:rsidRPr="00AE00DF" w:rsidTr="00EC2EB1">
        <w:trPr>
          <w:trHeight w:val="2549"/>
        </w:trPr>
        <w:tc>
          <w:tcPr>
            <w:tcW w:w="3983" w:type="dxa"/>
          </w:tcPr>
          <w:p w:rsidR="001A5BA1" w:rsidRDefault="001A5BA1" w:rsidP="00EC2EB1">
            <w:pPr>
              <w:keepNext/>
              <w:keepLines/>
              <w:spacing w:after="3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B3B3B">
              <w:rPr>
                <w:rFonts w:cs="Arial"/>
              </w:rPr>
              <w:t xml:space="preserve">pomorphine </w:t>
            </w:r>
            <w:r>
              <w:rPr>
                <w:rFonts w:cs="Arial"/>
              </w:rPr>
              <w:t xml:space="preserve">and Infusion Pump </w:t>
            </w:r>
            <w:r w:rsidRPr="00BB3B3B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 xml:space="preserve">associated </w:t>
            </w:r>
            <w:r w:rsidRPr="00BB3B3B">
              <w:rPr>
                <w:rFonts w:cs="Arial"/>
              </w:rPr>
              <w:t>consumables</w:t>
            </w:r>
            <w:r>
              <w:rPr>
                <w:rFonts w:cs="Arial"/>
              </w:rPr>
              <w:t>*</w:t>
            </w:r>
            <w:r w:rsidRPr="00BB3B3B">
              <w:rPr>
                <w:rFonts w:cs="Arial"/>
              </w:rPr>
              <w:t xml:space="preserve"> used for administration of apomorphine via a pump. </w:t>
            </w:r>
          </w:p>
          <w:p w:rsidR="001A5BA1" w:rsidRDefault="001A5BA1" w:rsidP="00EC2EB1">
            <w:pPr>
              <w:keepNext/>
              <w:keepLines/>
              <w:spacing w:after="360"/>
              <w:rPr>
                <w:rFonts w:cs="Arial"/>
              </w:rPr>
            </w:pPr>
            <w:r>
              <w:rPr>
                <w:rFonts w:cs="Arial"/>
              </w:rPr>
              <w:t>(Optional)</w:t>
            </w:r>
          </w:p>
          <w:p w:rsidR="001A5BA1" w:rsidRDefault="001A5BA1" w:rsidP="00EC2EB1">
            <w:pPr>
              <w:keepNext/>
              <w:keepLines/>
              <w:spacing w:after="360"/>
              <w:rPr>
                <w:rFonts w:cs="Arial"/>
              </w:rPr>
            </w:pPr>
          </w:p>
          <w:p w:rsidR="001A5BA1" w:rsidRPr="00BB3B3B" w:rsidRDefault="001A5BA1" w:rsidP="00EC2EB1">
            <w:pPr>
              <w:keepNext/>
              <w:keepLines/>
              <w:spacing w:after="360"/>
              <w:rPr>
                <w:rFonts w:cs="Arial"/>
              </w:rPr>
            </w:pPr>
            <w:r>
              <w:rPr>
                <w:rFonts w:cs="Arial"/>
              </w:rPr>
              <w:t>*see section (q) below.</w:t>
            </w:r>
          </w:p>
        </w:tc>
        <w:tc>
          <w:tcPr>
            <w:tcW w:w="3984" w:type="dxa"/>
          </w:tcPr>
          <w:p w:rsidR="001A5BA1" w:rsidRPr="00BB3B3B" w:rsidRDefault="001A5BA1" w:rsidP="00EC2EB1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1A5BA1" w:rsidRDefault="001A5BA1" w:rsidP="001A5BA1">
      <w:pPr>
        <w:rPr>
          <w:rFonts w:cs="Arial"/>
        </w:rPr>
      </w:pPr>
    </w:p>
    <w:p w:rsidR="001A5BA1" w:rsidRDefault="001A5BA1" w:rsidP="001A5BA1">
      <w:pPr>
        <w:rPr>
          <w:rFonts w:cs="Arial"/>
        </w:rPr>
      </w:pPr>
    </w:p>
    <w:p w:rsidR="001A5BA1" w:rsidRDefault="001A5BA1" w:rsidP="001A5BA1">
      <w:pPr>
        <w:rPr>
          <w:rFonts w:cs="Arial"/>
        </w:rPr>
      </w:pPr>
    </w:p>
    <w:p w:rsidR="001A5BA1" w:rsidRPr="00AE00DF" w:rsidRDefault="001A5BA1" w:rsidP="001A5BA1">
      <w:pPr>
        <w:rPr>
          <w:rFonts w:cs="Arial"/>
        </w:rPr>
      </w:pPr>
    </w:p>
    <w:p w:rsidR="001A5BA1" w:rsidRPr="00AE00DF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>Below is e</w:t>
      </w:r>
      <w:r w:rsidRPr="00AE00DF">
        <w:rPr>
          <w:rFonts w:cs="Arial"/>
        </w:rPr>
        <w:t>vidence of market approval and any other required consents</w:t>
      </w:r>
      <w:r>
        <w:rPr>
          <w:rFonts w:cs="Arial"/>
        </w:rPr>
        <w:t xml:space="preserve"> for the Pharmaceuticals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147"/>
      </w:tblGrid>
      <w:tr w:rsidR="001A5BA1" w:rsidRPr="00AE00DF" w:rsidTr="00EC2EB1">
        <w:tc>
          <w:tcPr>
            <w:tcW w:w="4820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3147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4820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  <w:b/>
              </w:rPr>
              <w:t>OR</w:t>
            </w:r>
            <w:r w:rsidRPr="00F614FD">
              <w:rPr>
                <w:rFonts w:cs="Arial"/>
              </w:rPr>
              <w:t xml:space="preserve"> Date of submission of dossier (please attach confirmation from Medsafe that dossier has been submitted)</w:t>
            </w:r>
          </w:p>
        </w:tc>
        <w:tc>
          <w:tcPr>
            <w:tcW w:w="3147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</w:p>
        </w:tc>
      </w:tr>
      <w:tr w:rsidR="001A5BA1" w:rsidRPr="00AE00DF" w:rsidTr="00EC2EB1">
        <w:tc>
          <w:tcPr>
            <w:tcW w:w="4820" w:type="dxa"/>
          </w:tcPr>
          <w:p w:rsidR="001A5BA1" w:rsidRPr="00AE00DF" w:rsidRDefault="001A5BA1" w:rsidP="00EC2EB1">
            <w:pPr>
              <w:spacing w:after="60"/>
              <w:rPr>
                <w:rFonts w:cs="Arial"/>
              </w:rPr>
            </w:pPr>
            <w:r w:rsidRPr="00F614FD">
              <w:rPr>
                <w:rFonts w:cs="Arial"/>
                <w:b/>
              </w:rPr>
              <w:t xml:space="preserve">OR </w:t>
            </w:r>
            <w:r w:rsidRPr="00F614FD">
              <w:rPr>
                <w:rFonts w:cs="Arial"/>
              </w:rPr>
              <w:t>Expected date of dossier submission to Medsafe</w:t>
            </w:r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3147" w:type="dxa"/>
          </w:tcPr>
          <w:p w:rsidR="001A5BA1" w:rsidRPr="00AE00DF" w:rsidRDefault="001A5BA1" w:rsidP="00EC2EB1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:rsidR="001A5BA1" w:rsidRPr="00AE00DF" w:rsidRDefault="001A5BA1" w:rsidP="001A5BA1">
      <w:pPr>
        <w:rPr>
          <w:rFonts w:cs="Arial"/>
          <w:b/>
          <w:i/>
        </w:rPr>
      </w:pPr>
    </w:p>
    <w:p w:rsidR="001A5BA1" w:rsidRPr="000A3FE9" w:rsidRDefault="001A5BA1" w:rsidP="001A5BA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0A3FE9">
        <w:rPr>
          <w:rFonts w:cs="Arial"/>
        </w:rPr>
        <w:t xml:space="preserve">Confirmation that there are no intellectual property barriers (including patent barriers) to our supply of </w:t>
      </w:r>
      <w:r>
        <w:rPr>
          <w:rFonts w:cs="Arial"/>
        </w:rPr>
        <w:t>the Pharmaceutical</w:t>
      </w:r>
      <w:r w:rsidRPr="000A3FE9">
        <w:rPr>
          <w:rFonts w:cs="Arial"/>
        </w:rPr>
        <w:t xml:space="preserve"> in New Zealand, with additional information if required</w:t>
      </w:r>
      <w:r>
        <w:rPr>
          <w:rFonts w:cs="Arial"/>
        </w:rPr>
        <w:t>:</w:t>
      </w:r>
      <w:r w:rsidRPr="000A3FE9">
        <w:rPr>
          <w:rFonts w:cs="Arial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</w:tblGrid>
      <w:tr w:rsidR="001A5BA1" w:rsidRPr="00AE00DF" w:rsidTr="00EC2EB1">
        <w:tc>
          <w:tcPr>
            <w:tcW w:w="7967" w:type="dxa"/>
          </w:tcPr>
          <w:p w:rsidR="001A5BA1" w:rsidRPr="00AE00DF" w:rsidRDefault="001A5BA1" w:rsidP="00EC2EB1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1A5BA1" w:rsidRPr="00AE00DF" w:rsidRDefault="001A5BA1" w:rsidP="001A5BA1">
      <w:pPr>
        <w:rPr>
          <w:rFonts w:cs="Arial"/>
        </w:rPr>
      </w:pPr>
    </w:p>
    <w:p w:rsidR="001A5BA1" w:rsidRPr="000A3FE9" w:rsidRDefault="001A5BA1" w:rsidP="001A5BA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Information about our ability to ensure the continuity </w:t>
      </w:r>
      <w:r>
        <w:rPr>
          <w:rFonts w:cs="Arial"/>
        </w:rPr>
        <w:t>of supply of the Pharmaceutical, including other countries where it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</w:tblGrid>
      <w:tr w:rsidR="001A5BA1" w:rsidRPr="00BC148C" w:rsidTr="00EC2EB1">
        <w:trPr>
          <w:trHeight w:val="1428"/>
        </w:trPr>
        <w:tc>
          <w:tcPr>
            <w:tcW w:w="7967" w:type="dxa"/>
          </w:tcPr>
          <w:p w:rsidR="001A5BA1" w:rsidRPr="00BC148C" w:rsidRDefault="001A5BA1" w:rsidP="00EC2EB1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1A5BA1" w:rsidRPr="00AE00DF" w:rsidRDefault="001A5BA1" w:rsidP="001A5BA1">
      <w:pPr>
        <w:jc w:val="both"/>
        <w:rPr>
          <w:rFonts w:cs="Arial"/>
          <w:b/>
          <w:i/>
        </w:rPr>
      </w:pPr>
    </w:p>
    <w:p w:rsidR="001A5BA1" w:rsidRPr="00AE00DF" w:rsidRDefault="001A5BA1" w:rsidP="001A5BA1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AE00DF">
        <w:rPr>
          <w:rFonts w:cs="Arial"/>
        </w:rPr>
        <w:t>Information about our previous supply performance</w:t>
      </w:r>
      <w:r>
        <w:rPr>
          <w:rFonts w:cs="Arial"/>
        </w:rPr>
        <w:t>, existing commitments</w:t>
      </w:r>
      <w:r w:rsidRPr="00AE00DF">
        <w:rPr>
          <w:rFonts w:cs="Arial"/>
        </w:rPr>
        <w:t xml:space="preserve">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</w:tblGrid>
      <w:tr w:rsidR="001A5BA1" w:rsidRPr="00AE00DF" w:rsidTr="00EC2EB1">
        <w:trPr>
          <w:trHeight w:val="1637"/>
        </w:trPr>
        <w:tc>
          <w:tcPr>
            <w:tcW w:w="7967" w:type="dxa"/>
          </w:tcPr>
          <w:p w:rsidR="001A5BA1" w:rsidRPr="00AE00DF" w:rsidRDefault="001A5BA1" w:rsidP="00EC2EB1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1A5BA1" w:rsidRPr="00AE00DF" w:rsidRDefault="001A5BA1" w:rsidP="001A5BA1">
      <w:pPr>
        <w:jc w:val="both"/>
        <w:rPr>
          <w:rFonts w:cs="Arial"/>
          <w:b/>
          <w:i/>
        </w:rPr>
      </w:pPr>
    </w:p>
    <w:p w:rsidR="001A5BA1" w:rsidRPr="00AE00DF" w:rsidRDefault="001A5BA1" w:rsidP="001A5BA1">
      <w:pPr>
        <w:keepNext/>
        <w:keepLines/>
        <w:numPr>
          <w:ilvl w:val="0"/>
          <w:numId w:val="1"/>
        </w:numPr>
        <w:rPr>
          <w:rFonts w:cs="Arial"/>
        </w:rPr>
      </w:pPr>
      <w:r w:rsidRPr="00AE00DF">
        <w:rPr>
          <w:rFonts w:cs="Arial"/>
        </w:rPr>
        <w:lastRenderedPageBreak/>
        <w:t xml:space="preserve">Proposals/suggestions regarding the </w:t>
      </w:r>
      <w:r>
        <w:rPr>
          <w:rFonts w:cs="Arial"/>
        </w:rPr>
        <w:t>P</w:t>
      </w:r>
      <w:r w:rsidRPr="00AE00DF">
        <w:rPr>
          <w:rFonts w:cs="Arial"/>
        </w:rPr>
        <w:t>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</w:tblGrid>
      <w:tr w:rsidR="001A5BA1" w:rsidRPr="00AE00DF" w:rsidTr="00EC2EB1">
        <w:trPr>
          <w:trHeight w:val="1637"/>
        </w:trPr>
        <w:tc>
          <w:tcPr>
            <w:tcW w:w="7967" w:type="dxa"/>
          </w:tcPr>
          <w:p w:rsidR="001A5BA1" w:rsidRPr="00AE00DF" w:rsidRDefault="001A5BA1" w:rsidP="00EC2EB1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1A5BA1" w:rsidRPr="00AE00DF" w:rsidRDefault="001A5BA1" w:rsidP="001A5BA1">
      <w:pPr>
        <w:rPr>
          <w:rFonts w:cs="Arial"/>
        </w:rPr>
      </w:pPr>
    </w:p>
    <w:p w:rsidR="001A5BA1" w:rsidRPr="00AE00DF" w:rsidRDefault="001A5BA1" w:rsidP="001A5BA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</w:tblGrid>
      <w:tr w:rsidR="001A5BA1" w:rsidRPr="00AE00DF" w:rsidTr="00EC2EB1">
        <w:trPr>
          <w:trHeight w:val="1888"/>
        </w:trPr>
        <w:tc>
          <w:tcPr>
            <w:tcW w:w="7967" w:type="dxa"/>
          </w:tcPr>
          <w:p w:rsidR="001A5BA1" w:rsidRPr="00AE00DF" w:rsidRDefault="001A5BA1" w:rsidP="00EC2EB1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numPr>
          <w:ilvl w:val="0"/>
          <w:numId w:val="1"/>
        </w:numPr>
        <w:tabs>
          <w:tab w:val="left" w:pos="8789"/>
        </w:tabs>
        <w:jc w:val="both"/>
        <w:rPr>
          <w:rFonts w:cs="Arial"/>
        </w:rPr>
      </w:pPr>
      <w:r>
        <w:rPr>
          <w:rFonts w:cs="Arial"/>
        </w:rPr>
        <w:t>Below is an outline of how our company would manage a recall of the Infusion pump(s) and or deal with/replace a damaged Infusion Pump(s):</w:t>
      </w:r>
    </w:p>
    <w:tbl>
      <w:tblPr>
        <w:tblW w:w="431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8"/>
      </w:tblGrid>
      <w:tr w:rsidR="001A5BA1" w:rsidRPr="00AE00DF" w:rsidTr="00EC2EB1">
        <w:trPr>
          <w:trHeight w:val="1888"/>
        </w:trPr>
        <w:tc>
          <w:tcPr>
            <w:tcW w:w="5000" w:type="pct"/>
          </w:tcPr>
          <w:p w:rsidR="001A5BA1" w:rsidRDefault="001A5BA1" w:rsidP="00EC2EB1">
            <w:pPr>
              <w:jc w:val="both"/>
              <w:rPr>
                <w:rFonts w:cs="Arial"/>
              </w:rPr>
            </w:pPr>
            <w:bookmarkStart w:id="1" w:name="_Hlk529191522"/>
          </w:p>
          <w:p w:rsidR="001A5BA1" w:rsidRDefault="001A5BA1" w:rsidP="00EC2EB1">
            <w:pPr>
              <w:jc w:val="both"/>
              <w:rPr>
                <w:rFonts w:cs="Arial"/>
              </w:rPr>
            </w:pPr>
          </w:p>
          <w:p w:rsidR="001A5BA1" w:rsidRPr="00C94CF1" w:rsidRDefault="001A5BA1" w:rsidP="00EC2EB1">
            <w:pPr>
              <w:jc w:val="both"/>
              <w:rPr>
                <w:rFonts w:cs="Arial"/>
              </w:rPr>
            </w:pPr>
          </w:p>
        </w:tc>
      </w:tr>
      <w:bookmarkEnd w:id="1"/>
    </w:tbl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spacing w:after="0"/>
        <w:jc w:val="both"/>
        <w:rPr>
          <w:rFonts w:cs="Arial"/>
        </w:rPr>
      </w:pPr>
      <w:r>
        <w:rPr>
          <w:rFonts w:cs="Arial"/>
        </w:rPr>
        <w:t>(o)     Below is an outline our company’s</w:t>
      </w:r>
      <w:r w:rsidRPr="00D33419">
        <w:rPr>
          <w:rFonts w:cs="Arial"/>
        </w:rPr>
        <w:t xml:space="preserve"> </w:t>
      </w:r>
      <w:r>
        <w:rPr>
          <w:rFonts w:cs="Arial"/>
        </w:rPr>
        <w:t>resourcing for patient support and clinical</w:t>
      </w:r>
    </w:p>
    <w:p w:rsidR="001A5BA1" w:rsidRDefault="001A5BA1" w:rsidP="001A5BA1">
      <w:pPr>
        <w:pStyle w:val="Indent1"/>
        <w:spacing w:after="0"/>
        <w:jc w:val="both"/>
        <w:rPr>
          <w:rFonts w:cs="Arial"/>
        </w:rPr>
      </w:pPr>
      <w:r>
        <w:rPr>
          <w:rFonts w:cs="Arial"/>
        </w:rPr>
        <w:t xml:space="preserve">          education and training:</w:t>
      </w:r>
    </w:p>
    <w:p w:rsidR="001A5BA1" w:rsidRDefault="001A5BA1" w:rsidP="001A5BA1">
      <w:pPr>
        <w:pStyle w:val="Indent1"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       </w:t>
      </w:r>
    </w:p>
    <w:tbl>
      <w:tblPr>
        <w:tblW w:w="431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8"/>
      </w:tblGrid>
      <w:tr w:rsidR="001A5BA1" w:rsidRPr="00AE00DF" w:rsidTr="00EC2EB1">
        <w:trPr>
          <w:trHeight w:val="1818"/>
        </w:trPr>
        <w:tc>
          <w:tcPr>
            <w:tcW w:w="5000" w:type="pct"/>
          </w:tcPr>
          <w:p w:rsidR="001A5BA1" w:rsidRDefault="001A5BA1" w:rsidP="00EC2EB1">
            <w:pPr>
              <w:pStyle w:val="ListParagraph"/>
              <w:spacing w:after="60" w:line="240" w:lineRule="auto"/>
              <w:ind w:left="1211" w:right="-102"/>
              <w:rPr>
                <w:rFonts w:cs="Arial"/>
              </w:rPr>
            </w:pPr>
          </w:p>
          <w:p w:rsidR="001A5BA1" w:rsidRDefault="001A5BA1" w:rsidP="00EC2EB1">
            <w:pPr>
              <w:pStyle w:val="ListParagraph"/>
              <w:spacing w:after="60" w:line="240" w:lineRule="auto"/>
              <w:ind w:left="1211" w:right="-102"/>
              <w:rPr>
                <w:rFonts w:cs="Arial"/>
              </w:rPr>
            </w:pPr>
          </w:p>
          <w:p w:rsidR="001A5BA1" w:rsidRDefault="001A5BA1" w:rsidP="00EC2EB1">
            <w:pPr>
              <w:pStyle w:val="ListParagraph"/>
              <w:spacing w:after="60" w:line="240" w:lineRule="auto"/>
              <w:ind w:left="1211" w:right="-102"/>
              <w:rPr>
                <w:rFonts w:cs="Arial"/>
              </w:rPr>
            </w:pPr>
          </w:p>
          <w:p w:rsidR="001A5BA1" w:rsidRDefault="001A5BA1" w:rsidP="00EC2EB1">
            <w:pPr>
              <w:pStyle w:val="ListParagraph"/>
              <w:spacing w:after="60" w:line="240" w:lineRule="auto"/>
              <w:ind w:left="1211" w:right="-102"/>
              <w:rPr>
                <w:rFonts w:cs="Arial"/>
              </w:rPr>
            </w:pPr>
          </w:p>
          <w:p w:rsidR="001A5BA1" w:rsidRDefault="001A5BA1" w:rsidP="00EC2EB1">
            <w:pPr>
              <w:pStyle w:val="ListParagraph"/>
              <w:spacing w:after="60" w:line="240" w:lineRule="auto"/>
              <w:ind w:left="1211" w:right="-102"/>
              <w:rPr>
                <w:rFonts w:cs="Arial"/>
              </w:rPr>
            </w:pPr>
          </w:p>
          <w:p w:rsidR="001A5BA1" w:rsidRPr="00C94CF1" w:rsidRDefault="001A5BA1" w:rsidP="00EC2EB1">
            <w:pPr>
              <w:pStyle w:val="ListParagraph"/>
              <w:spacing w:after="60" w:line="240" w:lineRule="auto"/>
              <w:ind w:left="1211" w:right="-102"/>
              <w:rPr>
                <w:rFonts w:cs="Arial"/>
              </w:rPr>
            </w:pPr>
          </w:p>
        </w:tc>
      </w:tr>
    </w:tbl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1134"/>
        </w:tabs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567"/>
        </w:tabs>
        <w:ind w:left="1170" w:hanging="1170"/>
        <w:jc w:val="both"/>
        <w:rPr>
          <w:rFonts w:cs="Arial"/>
        </w:rPr>
      </w:pPr>
      <w:r>
        <w:rPr>
          <w:rFonts w:cs="Arial"/>
        </w:rPr>
        <w:lastRenderedPageBreak/>
        <w:t xml:space="preserve">         (p)      Below is a detailed transition plan of what we would do to support a brand change:</w:t>
      </w:r>
    </w:p>
    <w:p w:rsidR="001A5BA1" w:rsidRDefault="001A5BA1" w:rsidP="001A5BA1">
      <w:pPr>
        <w:pStyle w:val="Indent1"/>
        <w:tabs>
          <w:tab w:val="left" w:pos="567"/>
        </w:tabs>
        <w:ind w:left="0"/>
        <w:jc w:val="both"/>
        <w:rPr>
          <w:rFonts w:cs="Arial"/>
        </w:rPr>
      </w:pPr>
      <w:r w:rsidRPr="001A5BA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48260</wp:posOffset>
                </wp:positionV>
                <wp:extent cx="4781550" cy="1257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1" w:rsidRDefault="001A5BA1"/>
                          <w:p w:rsidR="001A5BA1" w:rsidRDefault="001A5BA1"/>
                          <w:p w:rsidR="001A5BA1" w:rsidRDefault="001A5BA1"/>
                          <w:p w:rsidR="001A5BA1" w:rsidRDefault="001A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3.8pt;width:376.5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">
                <v:textbox>
                  <w:txbxContent>
                    <w:p w:rsidR="001A5BA1" w:rsidRDefault="001A5BA1"/>
                    <w:p w:rsidR="001A5BA1" w:rsidRDefault="001A5BA1"/>
                    <w:p w:rsidR="001A5BA1" w:rsidRDefault="001A5BA1"/>
                    <w:p w:rsidR="001A5BA1" w:rsidRDefault="001A5BA1"/>
                  </w:txbxContent>
                </v:textbox>
                <w10:wrap type="square"/>
              </v:shape>
            </w:pict>
          </mc:Fallback>
        </mc:AlternateContent>
      </w:r>
    </w:p>
    <w:p w:rsidR="001A5BA1" w:rsidRDefault="001A5BA1" w:rsidP="001A5BA1">
      <w:pPr>
        <w:pStyle w:val="Indent1"/>
        <w:tabs>
          <w:tab w:val="left" w:pos="567"/>
        </w:tabs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567"/>
        </w:tabs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567"/>
        </w:tabs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567"/>
        </w:tabs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567"/>
        </w:tabs>
        <w:ind w:left="0"/>
        <w:jc w:val="both"/>
        <w:rPr>
          <w:rFonts w:cs="Arial"/>
        </w:rPr>
      </w:pPr>
    </w:p>
    <w:p w:rsidR="001A5BA1" w:rsidRPr="00067FA0" w:rsidRDefault="001A5BA1" w:rsidP="001A5BA1">
      <w:pPr>
        <w:tabs>
          <w:tab w:val="left" w:pos="567"/>
          <w:tab w:val="left" w:pos="1134"/>
        </w:tabs>
        <w:spacing w:after="60"/>
        <w:ind w:left="1170" w:right="-102" w:hanging="630"/>
        <w:contextualSpacing/>
        <w:rPr>
          <w:rFonts w:cs="Arial"/>
        </w:rPr>
      </w:pPr>
      <w:r>
        <w:rPr>
          <w:rFonts w:cs="Arial"/>
        </w:rPr>
        <w:t>(q)      Because we have submitted a proposal for the Pharmaceutical and associated consumables, below is a list of the individual associated consumables we would supply for the administration of Apomorphine via an Infusion Pump:</w:t>
      </w:r>
    </w:p>
    <w:p w:rsidR="001A5BA1" w:rsidRDefault="001A5BA1" w:rsidP="001A5BA1">
      <w:pPr>
        <w:tabs>
          <w:tab w:val="left" w:pos="567"/>
          <w:tab w:val="left" w:pos="1134"/>
        </w:tabs>
        <w:spacing w:after="60"/>
        <w:ind w:left="1134" w:right="-102"/>
        <w:contextualSpacing/>
      </w:pPr>
    </w:p>
    <w:tbl>
      <w:tblPr>
        <w:tblW w:w="431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8"/>
      </w:tblGrid>
      <w:tr w:rsidR="001A5BA1" w:rsidRPr="00AE00DF" w:rsidTr="00EC2EB1">
        <w:trPr>
          <w:trHeight w:val="2236"/>
        </w:trPr>
        <w:tc>
          <w:tcPr>
            <w:tcW w:w="5000" w:type="pct"/>
          </w:tcPr>
          <w:p w:rsidR="001A5BA1" w:rsidRDefault="001A5BA1" w:rsidP="00EC2EB1">
            <w:pPr>
              <w:spacing w:after="60"/>
              <w:ind w:right="-102"/>
              <w:contextualSpacing/>
              <w:rPr>
                <w:rFonts w:cs="Arial"/>
              </w:rPr>
            </w:pPr>
          </w:p>
          <w:p w:rsidR="001A5BA1" w:rsidRDefault="001A5BA1" w:rsidP="00EC2EB1">
            <w:pPr>
              <w:spacing w:after="60"/>
              <w:ind w:right="-102"/>
              <w:contextualSpacing/>
              <w:rPr>
                <w:rFonts w:cs="Arial"/>
              </w:rPr>
            </w:pPr>
          </w:p>
          <w:p w:rsidR="001A5BA1" w:rsidRDefault="001A5BA1" w:rsidP="00EC2EB1">
            <w:pPr>
              <w:spacing w:after="60"/>
              <w:ind w:right="-102"/>
              <w:contextualSpacing/>
              <w:rPr>
                <w:rFonts w:cs="Arial"/>
              </w:rPr>
            </w:pPr>
          </w:p>
          <w:p w:rsidR="001A5BA1" w:rsidRDefault="001A5BA1" w:rsidP="00EC2EB1">
            <w:pPr>
              <w:spacing w:after="60"/>
              <w:ind w:right="-102"/>
              <w:contextualSpacing/>
              <w:rPr>
                <w:rFonts w:cs="Arial"/>
              </w:rPr>
            </w:pPr>
          </w:p>
          <w:p w:rsidR="001A5BA1" w:rsidRDefault="001A5BA1" w:rsidP="00EC2EB1">
            <w:pPr>
              <w:spacing w:after="60"/>
              <w:ind w:right="-102"/>
              <w:contextualSpacing/>
              <w:rPr>
                <w:rFonts w:cs="Arial"/>
              </w:rPr>
            </w:pPr>
          </w:p>
          <w:p w:rsidR="001A5BA1" w:rsidRPr="00C94CF1" w:rsidRDefault="001A5BA1" w:rsidP="00EC2EB1">
            <w:pPr>
              <w:spacing w:after="60"/>
              <w:ind w:right="-102"/>
              <w:contextualSpacing/>
              <w:rPr>
                <w:rFonts w:cs="Arial"/>
              </w:rPr>
            </w:pPr>
          </w:p>
        </w:tc>
      </w:tr>
    </w:tbl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tabs>
          <w:tab w:val="left" w:pos="1276"/>
        </w:tabs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ind w:left="1134" w:hanging="567"/>
        <w:jc w:val="both"/>
      </w:pPr>
      <w:r>
        <w:t>(r)</w:t>
      </w:r>
      <w:r>
        <w:tab/>
        <w:t xml:space="preserve">Below are details of our processes for distribution </w:t>
      </w:r>
      <w:r w:rsidRPr="00C04369">
        <w:t xml:space="preserve">of the </w:t>
      </w:r>
      <w:r>
        <w:t>Infusion P</w:t>
      </w:r>
      <w:r w:rsidRPr="00C04369">
        <w:t>ump</w:t>
      </w:r>
      <w:r>
        <w:t xml:space="preserve">s, </w:t>
      </w:r>
      <w:r w:rsidRPr="00C04369">
        <w:t xml:space="preserve">and </w:t>
      </w:r>
      <w:r>
        <w:t xml:space="preserve">associated </w:t>
      </w:r>
      <w:r w:rsidRPr="00C04369">
        <w:t>consu</w:t>
      </w:r>
      <w:r>
        <w:t>mables (if submitting a proposal for the Pharmaceutical and associated consumables) to patients and/or healthcare professionals responsible for administration of Apomorphine:</w:t>
      </w:r>
    </w:p>
    <w:p w:rsidR="001A5BA1" w:rsidRDefault="001A5BA1" w:rsidP="001A5BA1">
      <w:pPr>
        <w:pStyle w:val="Indent1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E8EA0BA" wp14:editId="10B8C0C3">
                <wp:simplePos x="0" y="0"/>
                <wp:positionH relativeFrom="column">
                  <wp:posOffset>775970</wp:posOffset>
                </wp:positionH>
                <wp:positionV relativeFrom="paragraph">
                  <wp:posOffset>180340</wp:posOffset>
                </wp:positionV>
                <wp:extent cx="4814570" cy="140462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1" w:rsidRDefault="001A5BA1" w:rsidP="001A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A0BA" id="_x0000_s1027" type="#_x0000_t202" style="position:absolute;left:0;text-align:left;margin-left:61.1pt;margin-top:14.2pt;width:379.1pt;height:110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2oJwIAAE4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">
                <v:textbox>
                  <w:txbxContent>
                    <w:p w:rsidR="001A5BA1" w:rsidRDefault="001A5BA1" w:rsidP="001A5BA1"/>
                  </w:txbxContent>
                </v:textbox>
                <w10:wrap type="square"/>
              </v:shape>
            </w:pict>
          </mc:Fallback>
        </mc:AlternateContent>
      </w:r>
    </w:p>
    <w:p w:rsidR="001A5BA1" w:rsidRDefault="001A5BA1" w:rsidP="001A5BA1">
      <w:pPr>
        <w:pStyle w:val="Indent1"/>
        <w:ind w:left="1134" w:hanging="567"/>
        <w:jc w:val="both"/>
      </w:pPr>
    </w:p>
    <w:p w:rsidR="001A5BA1" w:rsidRDefault="001A5BA1" w:rsidP="001A5BA1">
      <w:pPr>
        <w:pStyle w:val="Indent1"/>
        <w:ind w:left="1134" w:hanging="567"/>
        <w:jc w:val="both"/>
      </w:pPr>
    </w:p>
    <w:p w:rsidR="001A5BA1" w:rsidRDefault="001A5BA1" w:rsidP="001A5BA1">
      <w:pPr>
        <w:pStyle w:val="Indent1"/>
        <w:ind w:left="1134" w:hanging="567"/>
        <w:jc w:val="both"/>
      </w:pPr>
    </w:p>
    <w:p w:rsidR="001A5BA1" w:rsidRDefault="001A5BA1" w:rsidP="001A5BA1">
      <w:pPr>
        <w:pStyle w:val="Indent1"/>
        <w:ind w:left="1134" w:hanging="567"/>
        <w:jc w:val="both"/>
      </w:pPr>
      <w:r w:rsidRPr="00C04369">
        <w:t xml:space="preserve"> </w:t>
      </w:r>
    </w:p>
    <w:p w:rsidR="001A5BA1" w:rsidRPr="00AE00DF" w:rsidRDefault="001A5BA1" w:rsidP="001A5BA1">
      <w:pPr>
        <w:pStyle w:val="Indent1"/>
        <w:ind w:left="1134" w:hanging="567"/>
        <w:jc w:val="both"/>
        <w:rPr>
          <w:rFonts w:cs="Arial"/>
        </w:rPr>
      </w:pPr>
    </w:p>
    <w:p w:rsidR="001A5BA1" w:rsidRPr="00AE00DF" w:rsidRDefault="001A5BA1" w:rsidP="001A5BA1">
      <w:pPr>
        <w:keepNext/>
        <w:keepLines/>
        <w:numPr>
          <w:ilvl w:val="0"/>
          <w:numId w:val="2"/>
        </w:num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lastRenderedPageBreak/>
        <w:t>Below is a</w:t>
      </w:r>
      <w:r w:rsidRPr="00AE00DF">
        <w:rPr>
          <w:rFonts w:cs="Arial"/>
        </w:rPr>
        <w:t>dditional information that PHARMAC should consider when evaluating our proposal</w:t>
      </w:r>
      <w:r>
        <w:rPr>
          <w:rFonts w:cs="Arial"/>
        </w:rPr>
        <w:t xml:space="preserve">, including information we consider relevant under PHARMAC’s </w:t>
      </w:r>
      <w:hyperlink r:id="rId9" w:history="1">
        <w:r w:rsidRPr="00DC5B43">
          <w:rPr>
            <w:rStyle w:val="Hyperlink"/>
            <w:rFonts w:cs="Arial"/>
            <w:szCs w:val="22"/>
          </w:rPr>
          <w:t>Factors for Consideration</w:t>
        </w:r>
      </w:hyperlink>
      <w:r>
        <w:rPr>
          <w:rFonts w:cs="Arial"/>
        </w:rPr>
        <w:t xml:space="preserve"> decision-making framework</w:t>
      </w:r>
      <w:r w:rsidRPr="00AE00DF">
        <w:rPr>
          <w:rFonts w:cs="Arial"/>
        </w:rPr>
        <w:t>:</w:t>
      </w: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  <w:r w:rsidRPr="003B549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AC7AD5E" wp14:editId="7952AF49">
                <wp:simplePos x="0" y="0"/>
                <wp:positionH relativeFrom="column">
                  <wp:posOffset>718185</wp:posOffset>
                </wp:positionH>
                <wp:positionV relativeFrom="paragraph">
                  <wp:posOffset>184150</wp:posOffset>
                </wp:positionV>
                <wp:extent cx="5210175" cy="17526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1" w:rsidRDefault="001A5BA1" w:rsidP="001A5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AD5E" id="_x0000_s1028" type="#_x0000_t202" style="position:absolute;left:0;text-align:left;margin-left:56.55pt;margin-top:14.5pt;width:410.25pt;height:13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">
                <v:textbox>
                  <w:txbxContent>
                    <w:p w:rsidR="001A5BA1" w:rsidRDefault="001A5BA1" w:rsidP="001A5BA1"/>
                  </w:txbxContent>
                </v:textbox>
                <w10:wrap type="square"/>
              </v:shape>
            </w:pict>
          </mc:Fallback>
        </mc:AlternateContent>
      </w: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1A5BA1" w:rsidRDefault="001A5BA1" w:rsidP="001A5BA1">
      <w:pPr>
        <w:pStyle w:val="Indent1"/>
        <w:ind w:left="0"/>
        <w:jc w:val="both"/>
        <w:rPr>
          <w:rFonts w:cs="Arial"/>
        </w:rPr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75" w:rsidRDefault="00086475">
      <w:r>
        <w:separator/>
      </w:r>
    </w:p>
  </w:endnote>
  <w:endnote w:type="continuationSeparator" w:id="0">
    <w:p w:rsidR="00086475" w:rsidRDefault="0008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B20C05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A1264747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75" w:rsidRDefault="00086475">
      <w:r>
        <w:separator/>
      </w:r>
    </w:p>
  </w:footnote>
  <w:footnote w:type="continuationSeparator" w:id="0">
    <w:p w:rsidR="00086475" w:rsidRDefault="0008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A50"/>
    <w:multiLevelType w:val="singleLevel"/>
    <w:tmpl w:val="8C0E62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BE9621B"/>
    <w:multiLevelType w:val="hybridMultilevel"/>
    <w:tmpl w:val="041E3166"/>
    <w:lvl w:ilvl="0" w:tplc="F06AD264">
      <w:start w:val="19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1"/>
    <w:rsid w:val="00086475"/>
    <w:rsid w:val="00151C3B"/>
    <w:rsid w:val="001A3329"/>
    <w:rsid w:val="001A5BA1"/>
    <w:rsid w:val="001D2BE9"/>
    <w:rsid w:val="002C4A8A"/>
    <w:rsid w:val="00346E4D"/>
    <w:rsid w:val="003619FA"/>
    <w:rsid w:val="003B63F9"/>
    <w:rsid w:val="003C00B4"/>
    <w:rsid w:val="004C6484"/>
    <w:rsid w:val="00501BDA"/>
    <w:rsid w:val="00736168"/>
    <w:rsid w:val="0091435B"/>
    <w:rsid w:val="00B20C05"/>
    <w:rsid w:val="00C84E59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4CFAD-9394-417F-B7CB-A24B6B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BA1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1A5BA1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1A5BA1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1A5BA1"/>
    <w:pPr>
      <w:ind w:left="567"/>
    </w:pPr>
  </w:style>
  <w:style w:type="character" w:styleId="Hyperlink">
    <w:name w:val="Hyperlink"/>
    <w:basedOn w:val="DefaultParagraphFont"/>
    <w:rsid w:val="001A5BA1"/>
    <w:rPr>
      <w:color w:val="0000FF" w:themeColor="hyperlink"/>
      <w:u w:val="single"/>
    </w:rPr>
  </w:style>
  <w:style w:type="character" w:customStyle="1" w:styleId="Indent1Char">
    <w:name w:val="Indent 1 Char"/>
    <w:link w:val="Indent1"/>
    <w:locked/>
    <w:rsid w:val="001A5BA1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A5BA1"/>
    <w:pPr>
      <w:spacing w:after="200" w:line="276" w:lineRule="auto"/>
      <w:ind w:left="720"/>
      <w:contextualSpacing/>
    </w:pPr>
    <w:rPr>
      <w:rFonts w:eastAsia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harmac.govt.nz/medicines/how-medicines-are-funded/factors-for-consid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Jeremy Price</cp:lastModifiedBy>
  <cp:revision>2</cp:revision>
  <dcterms:created xsi:type="dcterms:W3CDTF">2019-05-09T02:53:00Z</dcterms:created>
  <dcterms:modified xsi:type="dcterms:W3CDTF">2019-05-09T02:53:00Z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A1264747</vt:lpwstr>
  </property>
  <property fmtid="{D5CDD505-2E9C-101B-9397-08002B2CF9AE}" pid="4" name="Objective-Title">
    <vt:lpwstr>2019-5-10 Apomorohine RFP Sch 4 Propsal Form word</vt:lpwstr>
  </property>
  <property fmtid="{D5CDD505-2E9C-101B-9397-08002B2CF9AE}" pid="5" name="Objective-Comment">
    <vt:lpwstr/>
  </property>
  <property fmtid="{D5CDD505-2E9C-101B-9397-08002B2CF9AE}" pid="6" name="Objective-CreationStamp">
    <vt:filetime>2019-05-08T21:42:25Z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2019-05-08T22:10:04Z</vt:filetime>
  </property>
  <property fmtid="{D5CDD505-2E9C-101B-9397-08002B2CF9AE}" pid="11" name="Objective-Owner">
    <vt:lpwstr>Jeremy Price</vt:lpwstr>
  </property>
  <property fmtid="{D5CDD505-2E9C-101B-9397-08002B2CF9AE}" pid="12" name="Objective-Path">
    <vt:lpwstr>Objective Global Folder:PHARMAC Fileplan:Drug supply:RFPs:Apo-morphine + delivery devices 2017 RFP:03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