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BCF5EB" w14:textId="41317D35" w:rsidR="004D1784" w:rsidRDefault="004D1784" w:rsidP="004D1784">
      <w:pPr>
        <w:pStyle w:val="Heading1"/>
      </w:pPr>
      <w:r>
        <w:t xml:space="preserve">APPENDIX 3: Budget Template </w:t>
      </w:r>
      <w:r w:rsidR="003D0D2C">
        <w:t xml:space="preserve"> </w:t>
      </w:r>
      <w:bookmarkStart w:id="0" w:name="_GoBack"/>
      <w:bookmarkEnd w:id="0"/>
    </w:p>
    <w:p w14:paraId="61333B0B" w14:textId="48618089" w:rsidR="004D1784" w:rsidRPr="009F280E" w:rsidRDefault="004D1784" w:rsidP="004D1784">
      <w:pPr>
        <w:jc w:val="both"/>
        <w:rPr>
          <w:szCs w:val="18"/>
        </w:rPr>
      </w:pPr>
      <w:r>
        <w:rPr>
          <w:szCs w:val="18"/>
        </w:rPr>
        <w:t xml:space="preserve">Complete this template for your service budget. Under each umbrella service, add as many lines or levels of detail </w:t>
      </w:r>
      <w:r w:rsidR="0019508C">
        <w:rPr>
          <w:szCs w:val="18"/>
        </w:rPr>
        <w:t xml:space="preserve">as required to </w:t>
      </w:r>
      <w:r>
        <w:rPr>
          <w:szCs w:val="18"/>
        </w:rPr>
        <w:t>allow us to effectively evaluate your proposal. Costs must exclude GST.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14"/>
        <w:gridCol w:w="2894"/>
        <w:gridCol w:w="2822"/>
      </w:tblGrid>
      <w:tr w:rsidR="004D1784" w14:paraId="158466E4" w14:textId="77777777" w:rsidTr="00454CBC">
        <w:tc>
          <w:tcPr>
            <w:tcW w:w="2914" w:type="dxa"/>
          </w:tcPr>
          <w:p w14:paraId="056D0CCF" w14:textId="77777777" w:rsidR="004D1784" w:rsidRPr="009F280E" w:rsidRDefault="004D1784" w:rsidP="00FF17C8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Service</w:t>
            </w:r>
          </w:p>
        </w:tc>
        <w:tc>
          <w:tcPr>
            <w:tcW w:w="2894" w:type="dxa"/>
          </w:tcPr>
          <w:p w14:paraId="439125AF" w14:textId="77777777" w:rsidR="004D1784" w:rsidRPr="009F280E" w:rsidRDefault="004D1784" w:rsidP="00FF17C8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Details of calculation</w:t>
            </w:r>
          </w:p>
        </w:tc>
        <w:tc>
          <w:tcPr>
            <w:tcW w:w="2822" w:type="dxa"/>
          </w:tcPr>
          <w:p w14:paraId="325F852A" w14:textId="77777777" w:rsidR="004D1784" w:rsidRPr="009F280E" w:rsidRDefault="004D1784" w:rsidP="00FF17C8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Per annum price (</w:t>
            </w:r>
            <w:proofErr w:type="spellStart"/>
            <w:r>
              <w:rPr>
                <w:b/>
              </w:rPr>
              <w:t>excl</w:t>
            </w:r>
            <w:proofErr w:type="spellEnd"/>
            <w:r>
              <w:rPr>
                <w:b/>
              </w:rPr>
              <w:t xml:space="preserve"> GST)</w:t>
            </w:r>
          </w:p>
        </w:tc>
      </w:tr>
      <w:tr w:rsidR="004D1784" w14:paraId="63120033" w14:textId="77777777" w:rsidTr="00454CBC">
        <w:tc>
          <w:tcPr>
            <w:tcW w:w="2914" w:type="dxa"/>
          </w:tcPr>
          <w:p w14:paraId="3EE62A4A" w14:textId="7110DEBF" w:rsidR="00C36E47" w:rsidRPr="00BB18B7" w:rsidRDefault="00BB18B7" w:rsidP="00FF17C8">
            <w:pPr>
              <w:rPr>
                <w:b/>
              </w:rPr>
            </w:pPr>
            <w:r w:rsidRPr="00BB18B7">
              <w:rPr>
                <w:b/>
              </w:rPr>
              <w:t>Vaccine Storage</w:t>
            </w:r>
          </w:p>
          <w:p w14:paraId="4E30802B" w14:textId="41CD7858" w:rsidR="009A00FD" w:rsidRPr="00BB18B7" w:rsidRDefault="00BB18B7" w:rsidP="00BB18B7">
            <w:pPr>
              <w:pStyle w:val="ListParagraph"/>
              <w:numPr>
                <w:ilvl w:val="0"/>
                <w:numId w:val="1"/>
              </w:numPr>
            </w:pPr>
            <w:r w:rsidRPr="00BB18B7">
              <w:t>Provide a f</w:t>
            </w:r>
            <w:r w:rsidR="009A00FD" w:rsidRPr="00BB18B7">
              <w:t xml:space="preserve">ixed cost for 60 EUR-pallets or equivalent </w:t>
            </w:r>
          </w:p>
          <w:p w14:paraId="1F1A1B72" w14:textId="77777777" w:rsidR="00C36E47" w:rsidRPr="00BB18B7" w:rsidRDefault="00BB18B7" w:rsidP="00BB18B7">
            <w:pPr>
              <w:pStyle w:val="ListParagraph"/>
              <w:numPr>
                <w:ilvl w:val="0"/>
                <w:numId w:val="1"/>
              </w:numPr>
            </w:pPr>
            <w:r w:rsidRPr="00BB18B7">
              <w:t xml:space="preserve">Provide a </w:t>
            </w:r>
            <w:r w:rsidR="009A00FD" w:rsidRPr="00BB18B7">
              <w:t xml:space="preserve">Variable cost for excess pallets </w:t>
            </w:r>
          </w:p>
          <w:p w14:paraId="136BE903" w14:textId="42C79F8B" w:rsidR="00BB18B7" w:rsidRDefault="00BB18B7" w:rsidP="00FF17C8"/>
        </w:tc>
        <w:tc>
          <w:tcPr>
            <w:tcW w:w="2894" w:type="dxa"/>
          </w:tcPr>
          <w:p w14:paraId="2DD6C3B3" w14:textId="77777777" w:rsidR="004D1784" w:rsidRDefault="004D1784" w:rsidP="00FF17C8"/>
        </w:tc>
        <w:tc>
          <w:tcPr>
            <w:tcW w:w="2822" w:type="dxa"/>
          </w:tcPr>
          <w:p w14:paraId="231E78EE" w14:textId="77777777" w:rsidR="004D1784" w:rsidRDefault="004D1784" w:rsidP="00FF17C8"/>
        </w:tc>
      </w:tr>
      <w:tr w:rsidR="00BB18B7" w14:paraId="4EAC610E" w14:textId="77777777" w:rsidTr="00454CBC">
        <w:tc>
          <w:tcPr>
            <w:tcW w:w="2914" w:type="dxa"/>
          </w:tcPr>
          <w:p w14:paraId="5CEC163A" w14:textId="536B8833" w:rsidR="00BB18B7" w:rsidRPr="00BB18B7" w:rsidRDefault="00BB18B7" w:rsidP="00BB18B7">
            <w:pPr>
              <w:rPr>
                <w:b/>
              </w:rPr>
            </w:pPr>
            <w:r w:rsidRPr="00BB18B7">
              <w:rPr>
                <w:b/>
              </w:rPr>
              <w:t>Stock maintenance costs</w:t>
            </w:r>
            <w:r>
              <w:t xml:space="preserve"> (including vaccine returns)</w:t>
            </w:r>
          </w:p>
        </w:tc>
        <w:tc>
          <w:tcPr>
            <w:tcW w:w="2894" w:type="dxa"/>
          </w:tcPr>
          <w:p w14:paraId="681D97D1" w14:textId="77777777" w:rsidR="00BB18B7" w:rsidRDefault="00BB18B7" w:rsidP="00FF17C8"/>
        </w:tc>
        <w:tc>
          <w:tcPr>
            <w:tcW w:w="2822" w:type="dxa"/>
          </w:tcPr>
          <w:p w14:paraId="52562A94" w14:textId="77777777" w:rsidR="00BB18B7" w:rsidRDefault="00BB18B7" w:rsidP="00FF17C8"/>
        </w:tc>
      </w:tr>
      <w:tr w:rsidR="004D1784" w14:paraId="7E04E92F" w14:textId="77777777" w:rsidTr="00454CBC">
        <w:tc>
          <w:tcPr>
            <w:tcW w:w="2914" w:type="dxa"/>
          </w:tcPr>
          <w:p w14:paraId="2B1CADEF" w14:textId="7B2DDB4C" w:rsidR="004D1784" w:rsidRPr="00BB18B7" w:rsidRDefault="004D1784" w:rsidP="00FF17C8">
            <w:pPr>
              <w:rPr>
                <w:b/>
              </w:rPr>
            </w:pPr>
            <w:r w:rsidRPr="00BB18B7">
              <w:rPr>
                <w:b/>
              </w:rPr>
              <w:t>Distribution (freight) costs</w:t>
            </w:r>
            <w:r w:rsidR="009A00FD" w:rsidRPr="00BB18B7">
              <w:rPr>
                <w:b/>
              </w:rPr>
              <w:t>:</w:t>
            </w:r>
          </w:p>
          <w:p w14:paraId="234CC1E7" w14:textId="74786987" w:rsidR="008341F5" w:rsidRPr="00BB18B7" w:rsidRDefault="00BB18B7" w:rsidP="00BB18B7">
            <w:pPr>
              <w:pStyle w:val="ListParagraph"/>
              <w:numPr>
                <w:ilvl w:val="0"/>
                <w:numId w:val="2"/>
              </w:numPr>
            </w:pPr>
            <w:r w:rsidRPr="00BB18B7">
              <w:t>Provide a f</w:t>
            </w:r>
            <w:r w:rsidR="008341F5" w:rsidRPr="00BB18B7">
              <w:t xml:space="preserve">ixed cost for 312 deliveries annually </w:t>
            </w:r>
          </w:p>
          <w:p w14:paraId="449E9824" w14:textId="05243D06" w:rsidR="008341F5" w:rsidRPr="00BB18B7" w:rsidRDefault="00BB18B7" w:rsidP="00BB18B7">
            <w:pPr>
              <w:pStyle w:val="ListParagraph"/>
              <w:numPr>
                <w:ilvl w:val="0"/>
                <w:numId w:val="2"/>
              </w:numPr>
            </w:pPr>
            <w:r>
              <w:t xml:space="preserve">Provide a </w:t>
            </w:r>
            <w:r w:rsidR="00C63816">
              <w:t>v</w:t>
            </w:r>
            <w:r w:rsidR="009A00FD" w:rsidRPr="00BB18B7">
              <w:t>ariable cost for excess deliveries</w:t>
            </w:r>
          </w:p>
        </w:tc>
        <w:tc>
          <w:tcPr>
            <w:tcW w:w="2894" w:type="dxa"/>
          </w:tcPr>
          <w:p w14:paraId="133F8156" w14:textId="77777777" w:rsidR="004D1784" w:rsidRDefault="004D1784" w:rsidP="00FF17C8"/>
        </w:tc>
        <w:tc>
          <w:tcPr>
            <w:tcW w:w="2822" w:type="dxa"/>
          </w:tcPr>
          <w:p w14:paraId="06517512" w14:textId="77777777" w:rsidR="004D1784" w:rsidRDefault="004D1784" w:rsidP="00FF17C8"/>
        </w:tc>
      </w:tr>
      <w:tr w:rsidR="004D1784" w14:paraId="6C46548D" w14:textId="77777777" w:rsidTr="00454CBC">
        <w:tc>
          <w:tcPr>
            <w:tcW w:w="2914" w:type="dxa"/>
          </w:tcPr>
          <w:p w14:paraId="1D72B261" w14:textId="77777777" w:rsidR="004D1784" w:rsidRPr="00BB18B7" w:rsidRDefault="004D1784" w:rsidP="00FF17C8">
            <w:pPr>
              <w:rPr>
                <w:b/>
              </w:rPr>
            </w:pPr>
            <w:r w:rsidRPr="00BB18B7">
              <w:rPr>
                <w:b/>
              </w:rPr>
              <w:t>Packaging costs</w:t>
            </w:r>
          </w:p>
        </w:tc>
        <w:tc>
          <w:tcPr>
            <w:tcW w:w="2894" w:type="dxa"/>
          </w:tcPr>
          <w:p w14:paraId="5431E1EB" w14:textId="77777777" w:rsidR="004D1784" w:rsidRDefault="004D1784" w:rsidP="00FF17C8"/>
        </w:tc>
        <w:tc>
          <w:tcPr>
            <w:tcW w:w="2822" w:type="dxa"/>
          </w:tcPr>
          <w:p w14:paraId="18B4D46F" w14:textId="77777777" w:rsidR="004D1784" w:rsidRDefault="004D1784" w:rsidP="00FF17C8"/>
        </w:tc>
      </w:tr>
      <w:tr w:rsidR="004D1784" w14:paraId="43EC6081" w14:textId="77777777" w:rsidTr="00454CBC">
        <w:tc>
          <w:tcPr>
            <w:tcW w:w="2914" w:type="dxa"/>
          </w:tcPr>
          <w:p w14:paraId="0ECF5858" w14:textId="77777777" w:rsidR="004D1784" w:rsidRPr="00BB18B7" w:rsidRDefault="004D1784" w:rsidP="00FF17C8">
            <w:pPr>
              <w:rPr>
                <w:b/>
              </w:rPr>
            </w:pPr>
            <w:r w:rsidRPr="00BB18B7">
              <w:rPr>
                <w:b/>
              </w:rPr>
              <w:t>Reporting costs</w:t>
            </w:r>
          </w:p>
        </w:tc>
        <w:tc>
          <w:tcPr>
            <w:tcW w:w="2894" w:type="dxa"/>
          </w:tcPr>
          <w:p w14:paraId="437CD274" w14:textId="77777777" w:rsidR="004D1784" w:rsidRDefault="004D1784" w:rsidP="00FF17C8"/>
        </w:tc>
        <w:tc>
          <w:tcPr>
            <w:tcW w:w="2822" w:type="dxa"/>
          </w:tcPr>
          <w:p w14:paraId="26A2859B" w14:textId="77777777" w:rsidR="004D1784" w:rsidRDefault="004D1784" w:rsidP="00FF17C8"/>
        </w:tc>
      </w:tr>
      <w:tr w:rsidR="004D1784" w14:paraId="5DD103D8" w14:textId="77777777" w:rsidTr="00454CBC">
        <w:tc>
          <w:tcPr>
            <w:tcW w:w="2914" w:type="dxa"/>
          </w:tcPr>
          <w:p w14:paraId="600D3350" w14:textId="77777777" w:rsidR="004D1784" w:rsidRPr="00BB18B7" w:rsidRDefault="004D1784" w:rsidP="00FF17C8">
            <w:pPr>
              <w:rPr>
                <w:b/>
              </w:rPr>
            </w:pPr>
            <w:r w:rsidRPr="00BB18B7">
              <w:rPr>
                <w:b/>
              </w:rPr>
              <w:t>Insurance premium</w:t>
            </w:r>
          </w:p>
          <w:p w14:paraId="5E3EFC7E" w14:textId="6144370D" w:rsidR="008341F5" w:rsidRDefault="00E57DB2" w:rsidP="00FF17C8">
            <w:r>
              <w:t>(</w:t>
            </w:r>
            <w:r w:rsidR="009A00FD">
              <w:t>to cover an amount of</w:t>
            </w:r>
            <w:r>
              <w:t xml:space="preserve"> up to</w:t>
            </w:r>
            <w:r w:rsidR="009A00FD">
              <w:t xml:space="preserve"> $10million NZD</w:t>
            </w:r>
            <w:r w:rsidR="00AB5B3A">
              <w:t xml:space="preserve"> per </w:t>
            </w:r>
            <w:r w:rsidR="00BB18B7">
              <w:t xml:space="preserve">insurance </w:t>
            </w:r>
            <w:r w:rsidR="00AB5B3A">
              <w:t>event)</w:t>
            </w:r>
          </w:p>
        </w:tc>
        <w:tc>
          <w:tcPr>
            <w:tcW w:w="2894" w:type="dxa"/>
          </w:tcPr>
          <w:p w14:paraId="3169607D" w14:textId="77777777" w:rsidR="004D1784" w:rsidRDefault="004D1784" w:rsidP="00FF17C8"/>
        </w:tc>
        <w:tc>
          <w:tcPr>
            <w:tcW w:w="2822" w:type="dxa"/>
          </w:tcPr>
          <w:p w14:paraId="32A778C6" w14:textId="77777777" w:rsidR="004D1784" w:rsidRDefault="004D1784" w:rsidP="00FF17C8"/>
        </w:tc>
      </w:tr>
      <w:tr w:rsidR="004D1784" w14:paraId="78C4C9DB" w14:textId="77777777" w:rsidTr="00454CBC">
        <w:tc>
          <w:tcPr>
            <w:tcW w:w="2914" w:type="dxa"/>
          </w:tcPr>
          <w:p w14:paraId="368D4CFC" w14:textId="77777777" w:rsidR="004D1784" w:rsidRPr="00BB18B7" w:rsidRDefault="004D1784" w:rsidP="00FF17C8">
            <w:pPr>
              <w:rPr>
                <w:b/>
              </w:rPr>
            </w:pPr>
            <w:r w:rsidRPr="00BB18B7">
              <w:rPr>
                <w:b/>
              </w:rPr>
              <w:t>Other</w:t>
            </w:r>
          </w:p>
        </w:tc>
        <w:tc>
          <w:tcPr>
            <w:tcW w:w="2894" w:type="dxa"/>
          </w:tcPr>
          <w:p w14:paraId="65CF3F61" w14:textId="77777777" w:rsidR="004D1784" w:rsidRDefault="004D1784" w:rsidP="00FF17C8"/>
        </w:tc>
        <w:tc>
          <w:tcPr>
            <w:tcW w:w="2822" w:type="dxa"/>
          </w:tcPr>
          <w:p w14:paraId="5ABF524A" w14:textId="77777777" w:rsidR="004D1784" w:rsidRDefault="004D1784" w:rsidP="00FF17C8"/>
        </w:tc>
      </w:tr>
      <w:tr w:rsidR="004D1784" w14:paraId="269B1F46" w14:textId="77777777" w:rsidTr="00454CBC">
        <w:tc>
          <w:tcPr>
            <w:tcW w:w="2914" w:type="dxa"/>
          </w:tcPr>
          <w:p w14:paraId="3080C2C2" w14:textId="77777777" w:rsidR="004D1784" w:rsidRPr="00BB18B7" w:rsidRDefault="004D1784" w:rsidP="00FF17C8">
            <w:pPr>
              <w:rPr>
                <w:b/>
              </w:rPr>
            </w:pPr>
            <w:r w:rsidRPr="00BB18B7">
              <w:rPr>
                <w:b/>
              </w:rPr>
              <w:t>Total</w:t>
            </w:r>
          </w:p>
        </w:tc>
        <w:tc>
          <w:tcPr>
            <w:tcW w:w="2894" w:type="dxa"/>
          </w:tcPr>
          <w:p w14:paraId="56BC4B0A" w14:textId="77777777" w:rsidR="004D1784" w:rsidRDefault="004D1784" w:rsidP="00FF17C8"/>
        </w:tc>
        <w:tc>
          <w:tcPr>
            <w:tcW w:w="2822" w:type="dxa"/>
          </w:tcPr>
          <w:p w14:paraId="1097B22D" w14:textId="77777777" w:rsidR="004D1784" w:rsidRDefault="004D1784" w:rsidP="00FF17C8"/>
        </w:tc>
      </w:tr>
    </w:tbl>
    <w:p w14:paraId="280B7961" w14:textId="08E8C592" w:rsidR="007758CF" w:rsidRDefault="007758CF">
      <w:pPr>
        <w:rPr>
          <w:rFonts w:cs="Arial"/>
          <w:szCs w:val="22"/>
        </w:rPr>
      </w:pPr>
    </w:p>
    <w:p w14:paraId="64F0280F" w14:textId="77777777" w:rsidR="004C6484" w:rsidRPr="007758CF" w:rsidRDefault="004C6484" w:rsidP="007758CF">
      <w:pPr>
        <w:rPr>
          <w:rFonts w:cs="Arial"/>
          <w:szCs w:val="22"/>
        </w:rPr>
      </w:pPr>
    </w:p>
    <w:tbl>
      <w:tblPr>
        <w:tblStyle w:val="TableGrid"/>
        <w:tblpPr w:leftFromText="180" w:rightFromText="180" w:vertAnchor="text" w:horzAnchor="margin" w:tblpY="-41"/>
        <w:tblW w:w="0" w:type="auto"/>
        <w:tblLook w:val="04A0" w:firstRow="1" w:lastRow="0" w:firstColumn="1" w:lastColumn="0" w:noHBand="0" w:noVBand="1"/>
      </w:tblPr>
      <w:tblGrid>
        <w:gridCol w:w="2914"/>
        <w:gridCol w:w="2894"/>
        <w:gridCol w:w="2822"/>
      </w:tblGrid>
      <w:tr w:rsidR="00454CBC" w14:paraId="2DEDB6F5" w14:textId="77777777" w:rsidTr="00454CBC">
        <w:tc>
          <w:tcPr>
            <w:tcW w:w="2914" w:type="dxa"/>
          </w:tcPr>
          <w:p w14:paraId="5B3C3383" w14:textId="77777777" w:rsidR="00454CBC" w:rsidRPr="00BB18B7" w:rsidRDefault="006C540D" w:rsidP="00454CBC">
            <w:pPr>
              <w:rPr>
                <w:b/>
              </w:rPr>
            </w:pPr>
            <w:r w:rsidRPr="00BB18B7">
              <w:rPr>
                <w:b/>
              </w:rPr>
              <w:lastRenderedPageBreak/>
              <w:t xml:space="preserve">Transition fee </w:t>
            </w:r>
          </w:p>
          <w:p w14:paraId="2F91080D" w14:textId="02381503" w:rsidR="006C540D" w:rsidRPr="00BB18B7" w:rsidRDefault="006C540D" w:rsidP="00454CBC">
            <w:r w:rsidRPr="00BB18B7">
              <w:t xml:space="preserve">(to </w:t>
            </w:r>
            <w:r w:rsidR="0019508C" w:rsidRPr="00BB18B7">
              <w:t>cover planning</w:t>
            </w:r>
            <w:r w:rsidR="00351070" w:rsidRPr="00BB18B7">
              <w:t xml:space="preserve">, </w:t>
            </w:r>
            <w:r w:rsidR="0019508C" w:rsidRPr="00BB18B7">
              <w:t>transfer of stock and services</w:t>
            </w:r>
            <w:r w:rsidRPr="00BB18B7">
              <w:t xml:space="preserve"> during transition from incumbent</w:t>
            </w:r>
            <w:r w:rsidR="0019508C" w:rsidRPr="00BB18B7">
              <w:t xml:space="preserve"> provider</w:t>
            </w:r>
            <w:r w:rsidR="00611FB7" w:rsidRPr="00BB18B7">
              <w:t>. Only charged during the transition period</w:t>
            </w:r>
            <w:r w:rsidRPr="00BB18B7">
              <w:t>)</w:t>
            </w:r>
          </w:p>
        </w:tc>
        <w:tc>
          <w:tcPr>
            <w:tcW w:w="2894" w:type="dxa"/>
          </w:tcPr>
          <w:p w14:paraId="23C930DE" w14:textId="77777777" w:rsidR="00454CBC" w:rsidRDefault="00AB5B3A" w:rsidP="00454CBC">
            <w:r>
              <w:rPr>
                <w:b/>
              </w:rPr>
              <w:t>Details of calculation:</w:t>
            </w:r>
          </w:p>
          <w:p w14:paraId="61F997BC" w14:textId="77777777" w:rsidR="00AB5B3A" w:rsidRDefault="00AB5B3A" w:rsidP="00454CBC"/>
          <w:p w14:paraId="69EE9DEE" w14:textId="3EEC6FDE" w:rsidR="00AB5B3A" w:rsidRPr="00AB5B3A" w:rsidRDefault="00AB5B3A" w:rsidP="00454CBC"/>
        </w:tc>
        <w:tc>
          <w:tcPr>
            <w:tcW w:w="2822" w:type="dxa"/>
          </w:tcPr>
          <w:p w14:paraId="006DC927" w14:textId="77777777" w:rsidR="00454CBC" w:rsidRDefault="006C540D" w:rsidP="00454CBC">
            <w:r w:rsidRPr="00AB5B3A">
              <w:rPr>
                <w:b/>
              </w:rPr>
              <w:t xml:space="preserve">Price per day </w:t>
            </w:r>
            <w:proofErr w:type="spellStart"/>
            <w:r w:rsidRPr="00AB5B3A">
              <w:rPr>
                <w:b/>
              </w:rPr>
              <w:t>excl</w:t>
            </w:r>
            <w:proofErr w:type="spellEnd"/>
            <w:r w:rsidRPr="00AB5B3A">
              <w:rPr>
                <w:b/>
              </w:rPr>
              <w:t xml:space="preserve"> GST: </w:t>
            </w:r>
          </w:p>
          <w:p w14:paraId="37C0D67F" w14:textId="77777777" w:rsidR="00AB5B3A" w:rsidRDefault="00AB5B3A" w:rsidP="00454CBC"/>
          <w:p w14:paraId="022DB10B" w14:textId="436E342C" w:rsidR="00AB5B3A" w:rsidRPr="00AB5B3A" w:rsidRDefault="00AB5B3A" w:rsidP="00454CBC"/>
        </w:tc>
      </w:tr>
    </w:tbl>
    <w:p w14:paraId="60DF0253" w14:textId="77777777" w:rsidR="00454CBC" w:rsidRDefault="00454CBC">
      <w:pPr>
        <w:spacing w:after="0"/>
        <w:rPr>
          <w:rFonts w:cs="Arial"/>
          <w:szCs w:val="22"/>
        </w:rPr>
      </w:pPr>
    </w:p>
    <w:p w14:paraId="65BF7976" w14:textId="3164CAE1" w:rsidR="00454CBC" w:rsidRPr="00C87F1A" w:rsidRDefault="00454CBC" w:rsidP="00D1483A">
      <w:pPr>
        <w:spacing w:after="0"/>
        <w:rPr>
          <w:rFonts w:cs="Arial"/>
          <w:szCs w:val="22"/>
        </w:rPr>
      </w:pPr>
      <w:r>
        <w:rPr>
          <w:rFonts w:cs="Arial"/>
          <w:szCs w:val="22"/>
        </w:rPr>
        <w:t xml:space="preserve"> </w:t>
      </w:r>
    </w:p>
    <w:sectPr w:rsidR="00454CBC" w:rsidRPr="00C87F1A" w:rsidSect="00BB18B7">
      <w:footerReference w:type="default" r:id="rId8"/>
      <w:pgSz w:w="12240" w:h="15840"/>
      <w:pgMar w:top="1440" w:right="1800" w:bottom="568" w:left="1800" w:header="708" w:footer="5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6044F6" w14:textId="77777777" w:rsidR="0097133A" w:rsidRDefault="0097133A">
      <w:r>
        <w:separator/>
      </w:r>
    </w:p>
  </w:endnote>
  <w:endnote w:type="continuationSeparator" w:id="0">
    <w:p w14:paraId="58227371" w14:textId="77777777" w:rsidR="0097133A" w:rsidRDefault="009713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83B74D" w14:textId="02645075" w:rsidR="00C87F1A" w:rsidRPr="00D22024" w:rsidRDefault="007758CF" w:rsidP="00D22024">
    <w:pPr>
      <w:tabs>
        <w:tab w:val="right" w:pos="8550"/>
      </w:tabs>
      <w:rPr>
        <w:rFonts w:cs="Arial"/>
        <w:sz w:val="16"/>
        <w:szCs w:val="16"/>
      </w:rPr>
    </w:pPr>
    <w:r>
      <w:rPr>
        <w:rFonts w:cs="Arial"/>
        <w:sz w:val="16"/>
        <w:szCs w:val="16"/>
      </w:rPr>
      <w:t>A1124695</w:t>
    </w:r>
    <w:r w:rsidR="00D22024">
      <w:rPr>
        <w:rFonts w:cs="Arial"/>
        <w:sz w:val="16"/>
        <w:szCs w:val="16"/>
      </w:rPr>
      <w:tab/>
    </w:r>
    <w:r w:rsidR="00C87F1A" w:rsidRPr="00C87F1A">
      <w:rPr>
        <w:rFonts w:cs="Arial"/>
        <w:sz w:val="16"/>
        <w:szCs w:val="16"/>
      </w:rPr>
      <w:fldChar w:fldCharType="begin"/>
    </w:r>
    <w:r w:rsidR="00C87F1A" w:rsidRPr="00C87F1A">
      <w:rPr>
        <w:rFonts w:cs="Arial"/>
        <w:sz w:val="16"/>
        <w:szCs w:val="16"/>
      </w:rPr>
      <w:instrText xml:space="preserve"> PAGE </w:instrText>
    </w:r>
    <w:r w:rsidR="00C87F1A" w:rsidRPr="00C87F1A">
      <w:rPr>
        <w:rFonts w:cs="Arial"/>
        <w:sz w:val="16"/>
        <w:szCs w:val="16"/>
      </w:rPr>
      <w:fldChar w:fldCharType="separate"/>
    </w:r>
    <w:r w:rsidR="003D0D2C">
      <w:rPr>
        <w:rFonts w:cs="Arial"/>
        <w:noProof/>
        <w:sz w:val="16"/>
        <w:szCs w:val="16"/>
      </w:rPr>
      <w:t>1</w:t>
    </w:r>
    <w:r w:rsidR="00C87F1A" w:rsidRPr="00C87F1A">
      <w:rPr>
        <w:rFonts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11DC17" w14:textId="77777777" w:rsidR="0097133A" w:rsidRDefault="0097133A">
      <w:r>
        <w:separator/>
      </w:r>
    </w:p>
  </w:footnote>
  <w:footnote w:type="continuationSeparator" w:id="0">
    <w:p w14:paraId="7ADC51CA" w14:textId="77777777" w:rsidR="0097133A" w:rsidRDefault="009713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7964F4"/>
    <w:multiLevelType w:val="hybridMultilevel"/>
    <w:tmpl w:val="47C012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277D66"/>
    <w:multiLevelType w:val="hybridMultilevel"/>
    <w:tmpl w:val="A16056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784"/>
    <w:rsid w:val="000228DA"/>
    <w:rsid w:val="00151C3B"/>
    <w:rsid w:val="00152BDD"/>
    <w:rsid w:val="0019508C"/>
    <w:rsid w:val="001A3329"/>
    <w:rsid w:val="001D2BE9"/>
    <w:rsid w:val="002C4A8A"/>
    <w:rsid w:val="00346E4D"/>
    <w:rsid w:val="00351070"/>
    <w:rsid w:val="003619FA"/>
    <w:rsid w:val="003B63F9"/>
    <w:rsid w:val="003D0D2C"/>
    <w:rsid w:val="00411CD9"/>
    <w:rsid w:val="00454CBC"/>
    <w:rsid w:val="00476F9A"/>
    <w:rsid w:val="004B468B"/>
    <w:rsid w:val="004C6484"/>
    <w:rsid w:val="004D1784"/>
    <w:rsid w:val="004E51EB"/>
    <w:rsid w:val="00501BDA"/>
    <w:rsid w:val="00611FB7"/>
    <w:rsid w:val="006678B1"/>
    <w:rsid w:val="00675FEA"/>
    <w:rsid w:val="006938BF"/>
    <w:rsid w:val="006C540D"/>
    <w:rsid w:val="00736168"/>
    <w:rsid w:val="0075778B"/>
    <w:rsid w:val="007758CF"/>
    <w:rsid w:val="008341F5"/>
    <w:rsid w:val="008A6CDE"/>
    <w:rsid w:val="0091435B"/>
    <w:rsid w:val="0097133A"/>
    <w:rsid w:val="009A00FD"/>
    <w:rsid w:val="00AB5B3A"/>
    <w:rsid w:val="00B705EC"/>
    <w:rsid w:val="00BB18B7"/>
    <w:rsid w:val="00BD696A"/>
    <w:rsid w:val="00BE7ED9"/>
    <w:rsid w:val="00C36E47"/>
    <w:rsid w:val="00C63816"/>
    <w:rsid w:val="00C87F1A"/>
    <w:rsid w:val="00CB5D06"/>
    <w:rsid w:val="00CE259C"/>
    <w:rsid w:val="00D1483A"/>
    <w:rsid w:val="00D22024"/>
    <w:rsid w:val="00D5654A"/>
    <w:rsid w:val="00D74064"/>
    <w:rsid w:val="00D8646B"/>
    <w:rsid w:val="00E57DB2"/>
    <w:rsid w:val="00E6488F"/>
    <w:rsid w:val="00EA5248"/>
    <w:rsid w:val="00EF12B0"/>
    <w:rsid w:val="00F27C4F"/>
    <w:rsid w:val="00F641E9"/>
    <w:rsid w:val="00F76313"/>
    <w:rsid w:val="00FF1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5848811"/>
  <w15:chartTrackingRefBased/>
  <w15:docId w15:val="{008AB2AF-4ED2-4F80-BC68-6F471C9AE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D1784"/>
    <w:pPr>
      <w:spacing w:after="280"/>
    </w:pPr>
    <w:rPr>
      <w:rFonts w:ascii="Arial" w:hAnsi="Arial"/>
      <w:sz w:val="22"/>
      <w:lang w:eastAsia="en-US"/>
    </w:rPr>
  </w:style>
  <w:style w:type="paragraph" w:styleId="Heading1">
    <w:name w:val="heading 1"/>
    <w:aliases w:val="H1,GÜberschrift 1,Heading 1 Char2,Heading 1 Char Char,1. Char,H1 Char1,No numbers Char1,Section Heading Char1,Section Heading Char Char,H1 Char Char,No numbers Char Char,Heading 1 Char1 Char,DEFS &amp; INTERPS HEADING Char,Part Char,1.,No numbers"/>
    <w:basedOn w:val="Normal"/>
    <w:next w:val="Normal"/>
    <w:link w:val="Heading1Char"/>
    <w:qFormat/>
    <w:rsid w:val="004D1784"/>
    <w:pPr>
      <w:pBdr>
        <w:bottom w:val="none" w:sz="0" w:space="0" w:color="000000"/>
      </w:pBdr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87F1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87F1A"/>
    <w:pPr>
      <w:tabs>
        <w:tab w:val="center" w:pos="4320"/>
        <w:tab w:val="right" w:pos="8640"/>
      </w:tabs>
    </w:pPr>
  </w:style>
  <w:style w:type="character" w:customStyle="1" w:styleId="Heading1Char">
    <w:name w:val="Heading 1 Char"/>
    <w:aliases w:val="H1 Char,GÜberschrift 1 Char,Heading 1 Char2 Char,Heading 1 Char Char Char,1. Char Char,H1 Char1 Char,No numbers Char1 Char,Section Heading Char1 Char,Section Heading Char Char Char,H1 Char Char Char,No numbers Char Char Char,1. Char1"/>
    <w:basedOn w:val="DefaultParagraphFont"/>
    <w:link w:val="Heading1"/>
    <w:rsid w:val="004D1784"/>
    <w:rPr>
      <w:rFonts w:ascii="Arial" w:hAnsi="Arial"/>
      <w:b/>
      <w:sz w:val="22"/>
      <w:lang w:eastAsia="en-US"/>
    </w:rPr>
  </w:style>
  <w:style w:type="table" w:styleId="TableGrid">
    <w:name w:val="Table Grid"/>
    <w:basedOn w:val="TableNormal"/>
    <w:uiPriority w:val="59"/>
    <w:rsid w:val="004D1784"/>
    <w:rPr>
      <w:rFonts w:ascii="Arial" w:eastAsiaTheme="minorHAnsi" w:hAnsi="Arial" w:cstheme="minorBidi"/>
      <w:sz w:val="21"/>
      <w:szCs w:val="21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unhideWhenUsed/>
    <w:rsid w:val="00BE7ED9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BE7ED9"/>
    <w:rPr>
      <w:rFonts w:ascii="Segoe UI" w:hAnsi="Segoe UI" w:cs="Segoe UI"/>
      <w:sz w:val="18"/>
      <w:szCs w:val="18"/>
      <w:lang w:eastAsia="en-US"/>
    </w:rPr>
  </w:style>
  <w:style w:type="character" w:styleId="CommentReference">
    <w:name w:val="annotation reference"/>
    <w:basedOn w:val="DefaultParagraphFont"/>
    <w:semiHidden/>
    <w:unhideWhenUsed/>
    <w:rsid w:val="00BE7ED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E7ED9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BE7ED9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E7E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E7ED9"/>
    <w:rPr>
      <w:rFonts w:ascii="Arial" w:hAnsi="Arial"/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BB18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89BD5E-EFD7-44D2-BFA4-43DD483CE7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Hugo Singh</dc:creator>
  <cp:keywords/>
  <dc:description/>
  <cp:lastModifiedBy>Hugo Singh</cp:lastModifiedBy>
  <cp:revision>3</cp:revision>
  <dcterms:created xsi:type="dcterms:W3CDTF">2018-04-22T20:57:00Z</dcterms:created>
  <dcterms:modified xsi:type="dcterms:W3CDTF">2018-04-22T21:11:00Z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A1124695</vt:lpwstr>
  </property>
  <property fmtid="{D5CDD505-2E9C-101B-9397-08002B2CF9AE}" pid="4" name="Objective-Title">
    <vt:lpwstr>APPENDIX 3 Budget Template</vt:lpwstr>
  </property>
  <property fmtid="{D5CDD505-2E9C-101B-9397-08002B2CF9AE}" pid="5" name="Objective-Comment">
    <vt:lpwstr/>
  </property>
  <property fmtid="{D5CDD505-2E9C-101B-9397-08002B2CF9AE}" pid="6" name="Objective-CreationStamp">
    <vt:filetime>2018-03-07T05:03:55Z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2018-04-22T20:57:19Z</vt:filetime>
  </property>
  <property fmtid="{D5CDD505-2E9C-101B-9397-08002B2CF9AE}" pid="11" name="Objective-Owner">
    <vt:lpwstr>Hugo Singh</vt:lpwstr>
  </property>
  <property fmtid="{D5CDD505-2E9C-101B-9397-08002B2CF9AE}" pid="12" name="Objective-Path">
    <vt:lpwstr>Objective Global Folder:PHARMAC Fileplan:Drug supply:RFPs:Vaccine storage and distribution (national) RFP 2018:01 RFP Development:</vt:lpwstr>
  </property>
  <property fmtid="{D5CDD505-2E9C-101B-9397-08002B2CF9AE}" pid="13" name="Objective-Parent">
    <vt:lpwstr>01 RFP Development</vt:lpwstr>
  </property>
  <property fmtid="{D5CDD505-2E9C-101B-9397-08002B2CF9AE}" pid="14" name="Objective-State">
    <vt:lpwstr>Being Edited</vt:lpwstr>
  </property>
  <property fmtid="{D5CDD505-2E9C-101B-9397-08002B2CF9AE}" pid="15" name="Objective-Version">
    <vt:lpwstr>0.16</vt:lpwstr>
  </property>
  <property fmtid="{D5CDD505-2E9C-101B-9397-08002B2CF9AE}" pid="16" name="Objective-VersionNumber">
    <vt:r8>16</vt:r8>
  </property>
  <property fmtid="{D5CDD505-2E9C-101B-9397-08002B2CF9AE}" pid="17" name="Objective-VersionComment">
    <vt:lpwstr/>
  </property>
  <property fmtid="{D5CDD505-2E9C-101B-9397-08002B2CF9AE}" pid="18" name="Objective-FileNumber">
    <vt:lpwstr>qA41302</vt:lpwstr>
  </property>
  <property fmtid="{D5CDD505-2E9C-101B-9397-08002B2CF9AE}" pid="19" name="Objective-Classification">
    <vt:lpwstr>[Inherited - none]</vt:lpwstr>
  </property>
  <property fmtid="{D5CDD505-2E9C-101B-9397-08002B2CF9AE}" pid="20" name="Objective-Caveats">
    <vt:lpwstr/>
  </property>
  <property fmtid="{D5CDD505-2E9C-101B-9397-08002B2CF9AE}" pid="21" name="Objective-Connect Creator [system]">
    <vt:lpwstr/>
  </property>
</Properties>
</file>