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569" w:rsidRPr="00D02569" w:rsidRDefault="00D02569" w:rsidP="00D02569">
      <w:pPr>
        <w:spacing w:after="280"/>
        <w:jc w:val="both"/>
        <w:rPr>
          <w:rFonts w:ascii="Arial" w:hAnsi="Arial"/>
          <w:b/>
          <w:sz w:val="22"/>
          <w:szCs w:val="18"/>
          <w:lang w:val="en-NZ"/>
        </w:rPr>
      </w:pPr>
      <w:bookmarkStart w:id="0" w:name="_GoBack"/>
      <w:bookmarkEnd w:id="0"/>
      <w:r>
        <w:rPr>
          <w:rFonts w:ascii="Arial" w:hAnsi="Arial"/>
          <w:b/>
          <w:sz w:val="22"/>
          <w:szCs w:val="18"/>
          <w:lang w:val="en-NZ"/>
        </w:rPr>
        <w:t>A</w:t>
      </w:r>
      <w:r w:rsidRPr="00D02569">
        <w:rPr>
          <w:rFonts w:ascii="Arial" w:hAnsi="Arial"/>
          <w:b/>
          <w:sz w:val="22"/>
          <w:szCs w:val="18"/>
          <w:lang w:val="en-NZ"/>
        </w:rPr>
        <w:t>PPENDIX 3</w:t>
      </w:r>
    </w:p>
    <w:p w:rsidR="00D02569" w:rsidRPr="00D02569" w:rsidRDefault="00D02569" w:rsidP="00D02569">
      <w:pPr>
        <w:spacing w:after="280"/>
        <w:jc w:val="both"/>
        <w:rPr>
          <w:rFonts w:ascii="Arial" w:hAnsi="Arial"/>
          <w:b/>
          <w:sz w:val="22"/>
          <w:szCs w:val="18"/>
          <w:lang w:val="en-NZ"/>
        </w:rPr>
      </w:pPr>
      <w:r w:rsidRPr="00D02569">
        <w:rPr>
          <w:rFonts w:ascii="Arial" w:hAnsi="Arial"/>
          <w:b/>
          <w:sz w:val="22"/>
          <w:szCs w:val="18"/>
          <w:lang w:val="en-NZ"/>
        </w:rPr>
        <w:t>Budget template</w:t>
      </w:r>
    </w:p>
    <w:p w:rsidR="00D02569" w:rsidRPr="00D02569" w:rsidRDefault="00D02569" w:rsidP="00D02569">
      <w:pPr>
        <w:spacing w:after="280"/>
        <w:jc w:val="both"/>
        <w:rPr>
          <w:rFonts w:ascii="Arial" w:hAnsi="Arial"/>
          <w:sz w:val="22"/>
          <w:szCs w:val="18"/>
          <w:lang w:val="en-NZ"/>
        </w:rPr>
      </w:pPr>
      <w:r w:rsidRPr="00D02569">
        <w:rPr>
          <w:rFonts w:ascii="Arial" w:hAnsi="Arial"/>
          <w:sz w:val="22"/>
          <w:szCs w:val="18"/>
          <w:lang w:val="en-NZ"/>
        </w:rPr>
        <w:t>Complete this template for your service budget. Under each umbrella service, add as many lines or levels of detail that will allow us to effectively evaluate your proposals. Costs must exclude GST.</w:t>
      </w:r>
    </w:p>
    <w:tbl>
      <w:tblPr>
        <w:tblStyle w:val="TableGrid"/>
        <w:tblW w:w="9626" w:type="dxa"/>
        <w:tblInd w:w="108" w:type="dxa"/>
        <w:tblLook w:val="04A0" w:firstRow="1" w:lastRow="0" w:firstColumn="1" w:lastColumn="0" w:noHBand="0" w:noVBand="1"/>
      </w:tblPr>
      <w:tblGrid>
        <w:gridCol w:w="4643"/>
        <w:gridCol w:w="2976"/>
        <w:gridCol w:w="2007"/>
      </w:tblGrid>
      <w:tr w:rsidR="00D02569" w:rsidRPr="00D02569" w:rsidTr="00D02569">
        <w:tc>
          <w:tcPr>
            <w:tcW w:w="4643" w:type="dxa"/>
          </w:tcPr>
          <w:p w:rsidR="00D02569" w:rsidRPr="00D02569" w:rsidRDefault="00D02569" w:rsidP="00D02569">
            <w:pPr>
              <w:contextualSpacing/>
              <w:jc w:val="center"/>
              <w:rPr>
                <w:b/>
                <w:sz w:val="21"/>
                <w:szCs w:val="20"/>
                <w:lang w:val="en-NZ"/>
              </w:rPr>
            </w:pPr>
            <w:r w:rsidRPr="00D02569">
              <w:rPr>
                <w:b/>
                <w:sz w:val="21"/>
                <w:szCs w:val="20"/>
                <w:lang w:val="en-NZ"/>
              </w:rPr>
              <w:t>Service</w:t>
            </w:r>
          </w:p>
        </w:tc>
        <w:tc>
          <w:tcPr>
            <w:tcW w:w="2976" w:type="dxa"/>
          </w:tcPr>
          <w:p w:rsidR="00D02569" w:rsidRDefault="00D02569" w:rsidP="00D02569">
            <w:pPr>
              <w:contextualSpacing/>
              <w:jc w:val="center"/>
              <w:rPr>
                <w:b/>
                <w:sz w:val="21"/>
                <w:szCs w:val="20"/>
                <w:lang w:val="en-NZ"/>
              </w:rPr>
            </w:pPr>
            <w:r w:rsidRPr="00D02569">
              <w:rPr>
                <w:b/>
                <w:sz w:val="21"/>
                <w:szCs w:val="20"/>
                <w:lang w:val="en-NZ"/>
              </w:rPr>
              <w:t>Details of calculation</w:t>
            </w:r>
          </w:p>
          <w:p w:rsidR="00D02569" w:rsidRPr="00D02569" w:rsidRDefault="00D02569" w:rsidP="00D02569">
            <w:pPr>
              <w:jc w:val="center"/>
              <w:rPr>
                <w:sz w:val="21"/>
                <w:szCs w:val="20"/>
                <w:lang w:val="en-NZ"/>
              </w:rPr>
            </w:pPr>
          </w:p>
        </w:tc>
        <w:tc>
          <w:tcPr>
            <w:tcW w:w="2007" w:type="dxa"/>
          </w:tcPr>
          <w:p w:rsidR="00D02569" w:rsidRPr="00D02569" w:rsidRDefault="00D02569" w:rsidP="00D02569">
            <w:pPr>
              <w:contextualSpacing/>
              <w:jc w:val="center"/>
              <w:rPr>
                <w:b/>
                <w:sz w:val="21"/>
                <w:szCs w:val="20"/>
                <w:lang w:val="en-NZ"/>
              </w:rPr>
            </w:pPr>
            <w:r w:rsidRPr="00D02569">
              <w:rPr>
                <w:b/>
                <w:sz w:val="21"/>
                <w:szCs w:val="20"/>
                <w:lang w:val="en-NZ"/>
              </w:rPr>
              <w:t>Per annum price (</w:t>
            </w:r>
            <w:proofErr w:type="spellStart"/>
            <w:r w:rsidRPr="00D02569">
              <w:rPr>
                <w:b/>
                <w:sz w:val="21"/>
                <w:szCs w:val="20"/>
                <w:lang w:val="en-NZ"/>
              </w:rPr>
              <w:t>excl</w:t>
            </w:r>
            <w:proofErr w:type="spellEnd"/>
            <w:r w:rsidRPr="00D02569">
              <w:rPr>
                <w:b/>
                <w:sz w:val="21"/>
                <w:szCs w:val="20"/>
                <w:lang w:val="en-NZ"/>
              </w:rPr>
              <w:t xml:space="preserve"> GST)</w:t>
            </w:r>
          </w:p>
        </w:tc>
      </w:tr>
      <w:tr w:rsidR="00D02569" w:rsidRPr="00D02569" w:rsidTr="00D02569">
        <w:trPr>
          <w:trHeight w:val="490"/>
        </w:trPr>
        <w:tc>
          <w:tcPr>
            <w:tcW w:w="4643" w:type="dxa"/>
            <w:shd w:val="clear" w:color="auto" w:fill="D0CECE"/>
          </w:tcPr>
          <w:p w:rsidR="00D02569" w:rsidRPr="00D02569" w:rsidRDefault="00D02569" w:rsidP="00D02569">
            <w:pPr>
              <w:spacing w:before="40" w:after="40"/>
              <w:rPr>
                <w:b/>
                <w:sz w:val="21"/>
                <w:szCs w:val="20"/>
                <w:u w:val="single"/>
                <w:lang w:val="en-NZ"/>
              </w:rPr>
            </w:pPr>
            <w:r w:rsidRPr="00D02569">
              <w:rPr>
                <w:b/>
                <w:sz w:val="21"/>
                <w:szCs w:val="20"/>
                <w:u w:val="single"/>
                <w:lang w:val="en-NZ"/>
              </w:rPr>
              <w:t>Vaccine Storage and maintenance costs</w:t>
            </w:r>
          </w:p>
          <w:p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rsidR="00D02569" w:rsidRPr="00D02569" w:rsidRDefault="00D02569" w:rsidP="00D02569">
            <w:pPr>
              <w:spacing w:before="120" w:after="120"/>
              <w:contextualSpacing/>
              <w:rPr>
                <w:sz w:val="21"/>
                <w:szCs w:val="20"/>
                <w:lang w:val="en-NZ"/>
              </w:rPr>
            </w:pPr>
          </w:p>
        </w:tc>
        <w:tc>
          <w:tcPr>
            <w:tcW w:w="2007" w:type="dxa"/>
            <w:shd w:val="clear" w:color="auto" w:fill="D0CECE"/>
          </w:tcPr>
          <w:p w:rsidR="00D02569" w:rsidRPr="00D02569" w:rsidRDefault="00D02569" w:rsidP="00D02569">
            <w:pPr>
              <w:spacing w:before="120" w:after="120"/>
              <w:contextualSpacing/>
              <w:rPr>
                <w:sz w:val="21"/>
                <w:szCs w:val="20"/>
                <w:lang w:val="en-NZ"/>
              </w:rPr>
            </w:pPr>
          </w:p>
        </w:tc>
      </w:tr>
      <w:tr w:rsidR="00D02569" w:rsidRPr="00D02569" w:rsidTr="00D02569">
        <w:trPr>
          <w:trHeight w:val="227"/>
        </w:trPr>
        <w:tc>
          <w:tcPr>
            <w:tcW w:w="4643" w:type="dxa"/>
          </w:tcPr>
          <w:p w:rsidR="00D02569" w:rsidRPr="00D02569" w:rsidRDefault="00D02569" w:rsidP="00D02569">
            <w:pPr>
              <w:spacing w:before="40" w:after="40"/>
              <w:rPr>
                <w:b/>
                <w:sz w:val="20"/>
                <w:szCs w:val="20"/>
                <w:lang w:val="en-NZ"/>
              </w:rPr>
            </w:pPr>
            <w:r w:rsidRPr="00D02569">
              <w:rPr>
                <w:sz w:val="20"/>
                <w:szCs w:val="20"/>
                <w:lang w:val="en-NZ"/>
              </w:rPr>
              <w:t>Warehouse and Cold Chain storage costs</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rPr>
          <w:trHeight w:val="490"/>
        </w:trPr>
        <w:tc>
          <w:tcPr>
            <w:tcW w:w="4643" w:type="dxa"/>
          </w:tcPr>
          <w:p w:rsidR="00D02569" w:rsidRPr="00D02569" w:rsidRDefault="00D02569" w:rsidP="00D02569">
            <w:pPr>
              <w:spacing w:before="40" w:after="40"/>
              <w:rPr>
                <w:sz w:val="20"/>
                <w:szCs w:val="20"/>
                <w:lang w:val="en-NZ"/>
              </w:rPr>
            </w:pPr>
            <w:r w:rsidRPr="00D02569">
              <w:rPr>
                <w:sz w:val="20"/>
                <w:szCs w:val="20"/>
                <w:lang w:val="en-NZ"/>
              </w:rPr>
              <w:t>Facility costs (security, cleaning, pest management, alarm monitoring)</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shd w:val="clear" w:color="auto" w:fill="D0CECE"/>
          </w:tcPr>
          <w:p w:rsidR="00D02569" w:rsidRPr="00D02569" w:rsidRDefault="00D02569" w:rsidP="00D02569">
            <w:pPr>
              <w:spacing w:before="40" w:after="40"/>
              <w:rPr>
                <w:b/>
                <w:sz w:val="21"/>
                <w:szCs w:val="20"/>
                <w:u w:val="single"/>
                <w:lang w:val="en-NZ"/>
              </w:rPr>
            </w:pPr>
            <w:r w:rsidRPr="00D02569">
              <w:rPr>
                <w:b/>
                <w:sz w:val="21"/>
                <w:szCs w:val="20"/>
                <w:u w:val="single"/>
                <w:lang w:val="en-NZ"/>
              </w:rPr>
              <w:t>Distribution costs</w:t>
            </w:r>
          </w:p>
          <w:p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rsidR="00D02569" w:rsidRPr="00D02569" w:rsidRDefault="00D02569" w:rsidP="00D02569">
            <w:pPr>
              <w:spacing w:before="120" w:after="120"/>
              <w:contextualSpacing/>
              <w:rPr>
                <w:sz w:val="21"/>
                <w:szCs w:val="20"/>
                <w:lang w:val="en-NZ"/>
              </w:rPr>
            </w:pPr>
          </w:p>
        </w:tc>
        <w:tc>
          <w:tcPr>
            <w:tcW w:w="2007" w:type="dxa"/>
            <w:shd w:val="clear" w:color="auto" w:fill="D0CECE"/>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b/>
                <w:sz w:val="21"/>
                <w:szCs w:val="20"/>
                <w:lang w:val="en-NZ"/>
              </w:rPr>
            </w:pPr>
            <w:r w:rsidRPr="00D02569">
              <w:rPr>
                <w:sz w:val="21"/>
                <w:szCs w:val="20"/>
                <w:lang w:val="en-NZ"/>
              </w:rPr>
              <w:t>Freight (includes returns)</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Warehouse labour and supervision</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Packaging</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Data loggers</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Destruction</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Reporting</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Insurance (full insurance)</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shd w:val="clear" w:color="auto" w:fill="D0CECE"/>
          </w:tcPr>
          <w:p w:rsidR="00D02569" w:rsidRPr="00D02569" w:rsidRDefault="00D02569" w:rsidP="00D02569">
            <w:pPr>
              <w:spacing w:before="40" w:after="40"/>
              <w:rPr>
                <w:b/>
                <w:sz w:val="21"/>
                <w:szCs w:val="20"/>
                <w:u w:val="single"/>
                <w:lang w:val="en-NZ"/>
              </w:rPr>
            </w:pPr>
            <w:r w:rsidRPr="00D02569">
              <w:rPr>
                <w:b/>
                <w:sz w:val="21"/>
                <w:szCs w:val="20"/>
                <w:u w:val="single"/>
                <w:lang w:val="en-NZ"/>
              </w:rPr>
              <w:t>Customer services/order entry/order communications</w:t>
            </w:r>
          </w:p>
          <w:p w:rsidR="00D02569" w:rsidRPr="00D02569" w:rsidRDefault="00D02569" w:rsidP="00D02569">
            <w:pPr>
              <w:spacing w:before="40" w:after="40"/>
              <w:rPr>
                <w:b/>
                <w:sz w:val="21"/>
                <w:szCs w:val="20"/>
                <w:lang w:val="en-NZ"/>
              </w:rPr>
            </w:pPr>
            <w:r w:rsidRPr="00D02569">
              <w:rPr>
                <w:b/>
                <w:sz w:val="21"/>
                <w:szCs w:val="20"/>
                <w:lang w:val="en-NZ"/>
              </w:rPr>
              <w:t xml:space="preserve">Examples: </w:t>
            </w:r>
          </w:p>
        </w:tc>
        <w:tc>
          <w:tcPr>
            <w:tcW w:w="2976" w:type="dxa"/>
            <w:shd w:val="clear" w:color="auto" w:fill="D0CECE"/>
          </w:tcPr>
          <w:p w:rsidR="00D02569" w:rsidRPr="00D02569" w:rsidRDefault="00D02569" w:rsidP="00D02569">
            <w:pPr>
              <w:spacing w:before="120" w:after="120"/>
              <w:contextualSpacing/>
              <w:rPr>
                <w:sz w:val="21"/>
                <w:szCs w:val="20"/>
                <w:lang w:val="en-NZ"/>
              </w:rPr>
            </w:pPr>
          </w:p>
        </w:tc>
        <w:tc>
          <w:tcPr>
            <w:tcW w:w="2007" w:type="dxa"/>
            <w:shd w:val="clear" w:color="auto" w:fill="D0CECE"/>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b/>
                <w:sz w:val="21"/>
                <w:szCs w:val="20"/>
                <w:lang w:val="en-NZ"/>
              </w:rPr>
            </w:pPr>
            <w:r w:rsidRPr="00D02569">
              <w:rPr>
                <w:sz w:val="21"/>
                <w:szCs w:val="20"/>
                <w:lang w:val="en-NZ"/>
              </w:rPr>
              <w:t>Website and URL hosting, maintenance, external audits and user testing</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Fax order form development, hosting, circulation and maintenance</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National customer service staff (account maintenance, IPFX licencing phone rental and enquiries)</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shd w:val="clear" w:color="auto" w:fill="D0CECE"/>
          </w:tcPr>
          <w:p w:rsidR="00D02569" w:rsidRPr="00D02569" w:rsidRDefault="00D02569" w:rsidP="00D02569">
            <w:pPr>
              <w:spacing w:before="40" w:after="40"/>
              <w:rPr>
                <w:b/>
                <w:sz w:val="21"/>
                <w:szCs w:val="20"/>
                <w:u w:val="single"/>
                <w:lang w:val="en-NZ"/>
              </w:rPr>
            </w:pPr>
            <w:r w:rsidRPr="00D02569">
              <w:rPr>
                <w:b/>
                <w:sz w:val="21"/>
                <w:szCs w:val="20"/>
                <w:u w:val="single"/>
                <w:lang w:val="en-NZ"/>
              </w:rPr>
              <w:t>Quality management and SOP systems</w:t>
            </w:r>
          </w:p>
          <w:p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rsidR="00D02569" w:rsidRPr="00D02569" w:rsidRDefault="00D02569" w:rsidP="00D02569">
            <w:pPr>
              <w:spacing w:before="120" w:after="120"/>
              <w:contextualSpacing/>
              <w:rPr>
                <w:sz w:val="21"/>
                <w:szCs w:val="20"/>
                <w:lang w:val="en-NZ"/>
              </w:rPr>
            </w:pPr>
          </w:p>
        </w:tc>
        <w:tc>
          <w:tcPr>
            <w:tcW w:w="2007" w:type="dxa"/>
            <w:shd w:val="clear" w:color="auto" w:fill="D0CECE"/>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 xml:space="preserve">SOP maintenance and review, external audits, disaster recovery plans </w:t>
            </w:r>
            <w:proofErr w:type="spellStart"/>
            <w:r w:rsidRPr="00D02569">
              <w:rPr>
                <w:sz w:val="21"/>
                <w:szCs w:val="20"/>
                <w:lang w:val="en-NZ"/>
              </w:rPr>
              <w:t>ect</w:t>
            </w:r>
            <w:proofErr w:type="spellEnd"/>
            <w:r w:rsidRPr="00D02569">
              <w:rPr>
                <w:sz w:val="21"/>
                <w:szCs w:val="20"/>
                <w:lang w:val="en-NZ"/>
              </w:rPr>
              <w:t>.</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shd w:val="clear" w:color="auto" w:fill="D0CECE"/>
          </w:tcPr>
          <w:p w:rsidR="00D02569" w:rsidRPr="00D02569" w:rsidRDefault="00D02569" w:rsidP="00D02569">
            <w:pPr>
              <w:spacing w:before="40" w:after="40"/>
              <w:rPr>
                <w:b/>
                <w:sz w:val="21"/>
                <w:szCs w:val="20"/>
                <w:u w:val="single"/>
                <w:lang w:val="en-NZ"/>
              </w:rPr>
            </w:pPr>
            <w:r w:rsidRPr="00D02569">
              <w:rPr>
                <w:b/>
                <w:sz w:val="21"/>
                <w:szCs w:val="20"/>
                <w:u w:val="single"/>
                <w:lang w:val="en-NZ"/>
              </w:rPr>
              <w:t>Information systems</w:t>
            </w:r>
          </w:p>
          <w:p w:rsidR="00D02569" w:rsidRPr="00D02569" w:rsidRDefault="00D02569" w:rsidP="00D02569">
            <w:pPr>
              <w:spacing w:before="40" w:after="40"/>
              <w:rPr>
                <w:b/>
                <w:sz w:val="21"/>
                <w:szCs w:val="20"/>
                <w:lang w:val="en-NZ"/>
              </w:rPr>
            </w:pPr>
            <w:r w:rsidRPr="00D02569">
              <w:rPr>
                <w:b/>
                <w:sz w:val="21"/>
                <w:szCs w:val="20"/>
                <w:lang w:val="en-NZ"/>
              </w:rPr>
              <w:t>Examples:</w:t>
            </w:r>
          </w:p>
        </w:tc>
        <w:tc>
          <w:tcPr>
            <w:tcW w:w="2976" w:type="dxa"/>
            <w:shd w:val="clear" w:color="auto" w:fill="D0CECE"/>
          </w:tcPr>
          <w:p w:rsidR="00D02569" w:rsidRPr="00D02569" w:rsidRDefault="00D02569" w:rsidP="00D02569">
            <w:pPr>
              <w:spacing w:before="120" w:after="120"/>
              <w:contextualSpacing/>
              <w:rPr>
                <w:sz w:val="21"/>
                <w:szCs w:val="20"/>
                <w:lang w:val="en-NZ"/>
              </w:rPr>
            </w:pPr>
          </w:p>
        </w:tc>
        <w:tc>
          <w:tcPr>
            <w:tcW w:w="2007" w:type="dxa"/>
            <w:shd w:val="clear" w:color="auto" w:fill="D0CECE"/>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Contribution to SAP (inventory management and warehousing software)</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IT Hardware, rental and licencing</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Key account management</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tcPr>
          <w:p w:rsidR="00D02569" w:rsidRPr="00D02569" w:rsidRDefault="00D02569" w:rsidP="00D02569">
            <w:pPr>
              <w:spacing w:before="40" w:after="40"/>
              <w:rPr>
                <w:sz w:val="21"/>
                <w:szCs w:val="20"/>
                <w:lang w:val="en-NZ"/>
              </w:rPr>
            </w:pPr>
            <w:r w:rsidRPr="00D02569">
              <w:rPr>
                <w:sz w:val="21"/>
                <w:szCs w:val="20"/>
                <w:lang w:val="en-NZ"/>
              </w:rPr>
              <w:t>Administration</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r w:rsidR="00D02569" w:rsidRPr="00D02569" w:rsidTr="00D02569">
        <w:tc>
          <w:tcPr>
            <w:tcW w:w="4643" w:type="dxa"/>
            <w:shd w:val="clear" w:color="auto" w:fill="D0CECE"/>
          </w:tcPr>
          <w:p w:rsidR="00D02569" w:rsidRPr="00D02569" w:rsidRDefault="00D02569" w:rsidP="00D02569">
            <w:pPr>
              <w:spacing w:before="40" w:after="40"/>
              <w:rPr>
                <w:sz w:val="21"/>
                <w:szCs w:val="20"/>
                <w:lang w:val="en-NZ"/>
              </w:rPr>
            </w:pPr>
            <w:r w:rsidRPr="00D02569">
              <w:rPr>
                <w:b/>
                <w:sz w:val="21"/>
                <w:szCs w:val="20"/>
                <w:lang w:val="en-NZ"/>
              </w:rPr>
              <w:t>Other</w:t>
            </w:r>
          </w:p>
        </w:tc>
        <w:tc>
          <w:tcPr>
            <w:tcW w:w="2976" w:type="dxa"/>
            <w:shd w:val="clear" w:color="auto" w:fill="D0CECE"/>
          </w:tcPr>
          <w:p w:rsidR="00D02569" w:rsidRPr="00D02569" w:rsidRDefault="00D02569" w:rsidP="00D02569">
            <w:pPr>
              <w:spacing w:before="120" w:after="120"/>
              <w:contextualSpacing/>
              <w:rPr>
                <w:sz w:val="21"/>
                <w:szCs w:val="20"/>
                <w:lang w:val="en-NZ"/>
              </w:rPr>
            </w:pPr>
          </w:p>
        </w:tc>
        <w:tc>
          <w:tcPr>
            <w:tcW w:w="2007" w:type="dxa"/>
            <w:shd w:val="clear" w:color="auto" w:fill="D0CECE"/>
          </w:tcPr>
          <w:p w:rsidR="00D02569" w:rsidRPr="00D02569" w:rsidRDefault="00D02569" w:rsidP="00D02569">
            <w:pPr>
              <w:spacing w:before="120" w:after="120"/>
              <w:contextualSpacing/>
              <w:rPr>
                <w:sz w:val="21"/>
                <w:szCs w:val="20"/>
                <w:lang w:val="en-NZ"/>
              </w:rPr>
            </w:pPr>
          </w:p>
        </w:tc>
      </w:tr>
      <w:tr w:rsidR="00D02569" w:rsidRPr="00D02569" w:rsidTr="00D02569">
        <w:trPr>
          <w:trHeight w:val="60"/>
        </w:trPr>
        <w:tc>
          <w:tcPr>
            <w:tcW w:w="4643" w:type="dxa"/>
          </w:tcPr>
          <w:p w:rsidR="00D02569" w:rsidRPr="00D02569" w:rsidRDefault="00D02569" w:rsidP="00D02569">
            <w:pPr>
              <w:spacing w:before="40" w:after="40"/>
              <w:rPr>
                <w:b/>
                <w:sz w:val="21"/>
                <w:szCs w:val="20"/>
                <w:lang w:val="en-NZ"/>
              </w:rPr>
            </w:pPr>
            <w:r w:rsidRPr="00D02569">
              <w:rPr>
                <w:b/>
                <w:sz w:val="21"/>
                <w:szCs w:val="20"/>
                <w:lang w:val="en-NZ"/>
              </w:rPr>
              <w:t>Totals</w:t>
            </w:r>
          </w:p>
        </w:tc>
        <w:tc>
          <w:tcPr>
            <w:tcW w:w="2976" w:type="dxa"/>
          </w:tcPr>
          <w:p w:rsidR="00D02569" w:rsidRPr="00D02569" w:rsidRDefault="00D02569" w:rsidP="00D02569">
            <w:pPr>
              <w:spacing w:before="120" w:after="120"/>
              <w:contextualSpacing/>
              <w:rPr>
                <w:sz w:val="21"/>
                <w:szCs w:val="20"/>
                <w:lang w:val="en-NZ"/>
              </w:rPr>
            </w:pPr>
          </w:p>
        </w:tc>
        <w:tc>
          <w:tcPr>
            <w:tcW w:w="2007" w:type="dxa"/>
          </w:tcPr>
          <w:p w:rsidR="00D02569" w:rsidRPr="00D02569" w:rsidRDefault="00D02569" w:rsidP="00D02569">
            <w:pPr>
              <w:spacing w:before="120" w:after="120"/>
              <w:contextualSpacing/>
              <w:rPr>
                <w:sz w:val="21"/>
                <w:szCs w:val="20"/>
                <w:lang w:val="en-NZ"/>
              </w:rPr>
            </w:pPr>
          </w:p>
        </w:tc>
      </w:tr>
    </w:tbl>
    <w:p w:rsidR="004C6484" w:rsidRPr="00D02569" w:rsidRDefault="004C6484" w:rsidP="00D02569">
      <w:pPr>
        <w:rPr>
          <w:rFonts w:ascii="Arial" w:hAnsi="Arial" w:cs="Arial"/>
          <w:sz w:val="4"/>
          <w:szCs w:val="22"/>
        </w:rPr>
      </w:pPr>
    </w:p>
    <w:sectPr w:rsidR="004C6484" w:rsidRPr="00D02569" w:rsidSect="00D02569">
      <w:footerReference w:type="default" r:id="rId6"/>
      <w:pgSz w:w="12240" w:h="15840"/>
      <w:pgMar w:top="993" w:right="1134" w:bottom="1134" w:left="992"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4C6" w:rsidRDefault="001F04C6">
      <w:r>
        <w:separator/>
      </w:r>
    </w:p>
  </w:endnote>
  <w:endnote w:type="continuationSeparator" w:id="0">
    <w:p w:rsidR="001F04C6" w:rsidRDefault="001F0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F1A" w:rsidRPr="00D22024" w:rsidRDefault="00C87F1A" w:rsidP="00D22024">
    <w:pPr>
      <w:tabs>
        <w:tab w:val="right" w:pos="855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4C6" w:rsidRDefault="001F04C6">
      <w:r>
        <w:separator/>
      </w:r>
    </w:p>
  </w:footnote>
  <w:footnote w:type="continuationSeparator" w:id="0">
    <w:p w:rsidR="001F04C6" w:rsidRDefault="001F0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69"/>
    <w:rsid w:val="00151C3B"/>
    <w:rsid w:val="001A3329"/>
    <w:rsid w:val="001D2BE9"/>
    <w:rsid w:val="001F04C6"/>
    <w:rsid w:val="002C4A8A"/>
    <w:rsid w:val="00346E4D"/>
    <w:rsid w:val="003619FA"/>
    <w:rsid w:val="003B63F9"/>
    <w:rsid w:val="004C6484"/>
    <w:rsid w:val="00501BDA"/>
    <w:rsid w:val="00736168"/>
    <w:rsid w:val="0091435B"/>
    <w:rsid w:val="00C87F1A"/>
    <w:rsid w:val="00CB5D06"/>
    <w:rsid w:val="00D02569"/>
    <w:rsid w:val="00D22024"/>
    <w:rsid w:val="00D74064"/>
    <w:rsid w:val="00D8646B"/>
    <w:rsid w:val="00EF12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3F2F7"/>
  <w15:chartTrackingRefBased/>
  <w15:docId w15:val="{DDDA3610-295C-4306-939D-39EC3D7C0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7F1A"/>
    <w:pPr>
      <w:tabs>
        <w:tab w:val="center" w:pos="4320"/>
        <w:tab w:val="right" w:pos="8640"/>
      </w:tabs>
    </w:pPr>
  </w:style>
  <w:style w:type="paragraph" w:styleId="Footer">
    <w:name w:val="footer"/>
    <w:basedOn w:val="Normal"/>
    <w:rsid w:val="00C87F1A"/>
    <w:pPr>
      <w:tabs>
        <w:tab w:val="center" w:pos="4320"/>
        <w:tab w:val="right" w:pos="8640"/>
      </w:tabs>
    </w:pPr>
  </w:style>
  <w:style w:type="table" w:styleId="TableGrid">
    <w:name w:val="Table Grid"/>
    <w:basedOn w:val="TableNormal"/>
    <w:rsid w:val="00D02569"/>
    <w:rPr>
      <w:rFonts w:ascii="Arial" w:eastAsia="Calibri"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Stephen Cranney</cp:lastModifiedBy>
  <cp:revision>1</cp:revision>
  <dcterms:created xsi:type="dcterms:W3CDTF">2016-11-01T02:46:00Z</dcterms:created>
  <dcterms:modified xsi:type="dcterms:W3CDTF">2016-11-01T02:52:00Z</dcterms:modified>
</cp:coreProperties>
</file>