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AC" w:rsidRPr="00635356" w:rsidRDefault="009F59AC" w:rsidP="009F59AC">
      <w:pPr>
        <w:pStyle w:val="Heading1"/>
        <w:jc w:val="both"/>
        <w:rPr>
          <w:rFonts w:cs="Arial"/>
          <w:szCs w:val="22"/>
        </w:rPr>
      </w:pPr>
      <w:bookmarkStart w:id="0" w:name="_GoBack"/>
      <w:bookmarkEnd w:id="0"/>
      <w:r w:rsidRPr="00635356">
        <w:rPr>
          <w:rFonts w:cs="Arial"/>
          <w:szCs w:val="22"/>
        </w:rPr>
        <w:t>Schedule 4: Proposal form</w:t>
      </w:r>
    </w:p>
    <w:p w:rsidR="009F59AC" w:rsidRPr="00635356" w:rsidRDefault="009F59AC" w:rsidP="009F59AC">
      <w:pPr>
        <w:rPr>
          <w:rFonts w:cs="Arial"/>
          <w:szCs w:val="22"/>
        </w:rPr>
      </w:pPr>
      <w:r w:rsidRPr="00635356">
        <w:rPr>
          <w:rFonts w:cs="Arial"/>
          <w:b/>
          <w:szCs w:val="22"/>
        </w:rPr>
        <w:t>An electronic version of this form is available on GETS (</w:t>
      </w:r>
      <w:hyperlink r:id="rId8" w:history="1">
        <w:r w:rsidRPr="00635356">
          <w:rPr>
            <w:rStyle w:val="Hyperlink"/>
            <w:rFonts w:cs="Arial"/>
            <w:b/>
            <w:szCs w:val="22"/>
          </w:rPr>
          <w:t>www.gets.govt.nz</w:t>
        </w:r>
      </w:hyperlink>
      <w:r w:rsidRPr="00635356">
        <w:rPr>
          <w:rFonts w:cs="Arial"/>
          <w:b/>
          <w:szCs w:val="22"/>
        </w:rPr>
        <w:t>). You should expand the boxes as necessary.</w:t>
      </w:r>
    </w:p>
    <w:p w:rsidR="009F59AC" w:rsidRPr="00635356" w:rsidRDefault="009F59AC" w:rsidP="009F59AC">
      <w:pPr>
        <w:jc w:val="both"/>
        <w:rPr>
          <w:rFonts w:cs="Arial"/>
          <w:b/>
          <w:szCs w:val="22"/>
        </w:rPr>
      </w:pPr>
      <w:r w:rsidRPr="00635356">
        <w:rPr>
          <w:rFonts w:cs="Arial"/>
          <w:b/>
          <w:szCs w:val="22"/>
        </w:rPr>
        <w:t>[</w:t>
      </w:r>
      <w:r w:rsidRPr="00635356">
        <w:rPr>
          <w:rFonts w:cs="Arial"/>
          <w:b/>
          <w:i/>
          <w:szCs w:val="22"/>
        </w:rPr>
        <w:t>Supplier to insert date</w:t>
      </w:r>
      <w:r w:rsidRPr="00635356">
        <w:rPr>
          <w:rFonts w:cs="Arial"/>
          <w:b/>
          <w:szCs w:val="22"/>
        </w:rPr>
        <w:t>]</w:t>
      </w:r>
    </w:p>
    <w:p w:rsidR="009F59AC" w:rsidRPr="00635356" w:rsidRDefault="009F59AC" w:rsidP="009F59AC">
      <w:pPr>
        <w:spacing w:after="0"/>
        <w:rPr>
          <w:rFonts w:cs="Arial"/>
          <w:szCs w:val="22"/>
        </w:rPr>
      </w:pPr>
      <w:r w:rsidRPr="00635356">
        <w:rPr>
          <w:rFonts w:cs="Arial"/>
          <w:szCs w:val="22"/>
        </w:rPr>
        <w:t>Christine Chapman</w:t>
      </w:r>
    </w:p>
    <w:p w:rsidR="009F59AC" w:rsidRPr="00635356" w:rsidRDefault="009F59AC" w:rsidP="009F59AC">
      <w:pPr>
        <w:spacing w:after="0"/>
        <w:rPr>
          <w:rFonts w:cs="Arial"/>
          <w:szCs w:val="22"/>
        </w:rPr>
      </w:pPr>
      <w:r w:rsidRPr="00635356">
        <w:rPr>
          <w:rFonts w:cs="Arial"/>
          <w:szCs w:val="22"/>
        </w:rPr>
        <w:t>Senior Therapeutic Group Manager</w:t>
      </w:r>
      <w:r w:rsidRPr="00635356">
        <w:rPr>
          <w:rFonts w:cs="Arial"/>
          <w:szCs w:val="22"/>
        </w:rPr>
        <w:br/>
        <w:t>PHARMAC</w:t>
      </w:r>
    </w:p>
    <w:p w:rsidR="009F59AC" w:rsidRPr="00635356" w:rsidRDefault="009F59AC" w:rsidP="009F59AC">
      <w:pPr>
        <w:spacing w:after="0"/>
        <w:rPr>
          <w:rFonts w:cs="Arial"/>
          <w:szCs w:val="22"/>
        </w:rPr>
      </w:pPr>
    </w:p>
    <w:p w:rsidR="009F59AC" w:rsidRPr="00635356" w:rsidRDefault="009F59AC" w:rsidP="009F59AC">
      <w:pPr>
        <w:rPr>
          <w:color w:val="000000"/>
          <w:szCs w:val="22"/>
        </w:rPr>
      </w:pPr>
      <w:r w:rsidRPr="00635356">
        <w:rPr>
          <w:color w:val="000000"/>
          <w:szCs w:val="22"/>
        </w:rPr>
        <w:t>By electronic transfer using GETS (</w:t>
      </w:r>
      <w:hyperlink r:id="rId9" w:history="1">
        <w:r w:rsidRPr="00635356">
          <w:rPr>
            <w:color w:val="0000FF"/>
            <w:szCs w:val="22"/>
            <w:u w:val="single"/>
          </w:rPr>
          <w:t>https://www.gets.govt.nz</w:t>
        </w:r>
      </w:hyperlink>
      <w:r w:rsidRPr="00635356">
        <w:rPr>
          <w:color w:val="000000"/>
          <w:szCs w:val="22"/>
        </w:rPr>
        <w:t xml:space="preserve">) </w:t>
      </w:r>
    </w:p>
    <w:p w:rsidR="009F59AC" w:rsidRPr="00635356" w:rsidRDefault="009F59AC" w:rsidP="009F59AC">
      <w:pPr>
        <w:rPr>
          <w:rFonts w:cs="Arial"/>
          <w:szCs w:val="22"/>
        </w:rPr>
      </w:pPr>
      <w:r w:rsidRPr="00635356">
        <w:rPr>
          <w:rFonts w:cs="Arial"/>
          <w:szCs w:val="22"/>
        </w:rPr>
        <w:t>Dear Madam</w:t>
      </w:r>
    </w:p>
    <w:p w:rsidR="009F59AC" w:rsidRPr="00635356" w:rsidRDefault="009F59AC" w:rsidP="009F59AC">
      <w:pPr>
        <w:rPr>
          <w:rFonts w:cs="Arial"/>
          <w:szCs w:val="22"/>
        </w:rPr>
      </w:pPr>
      <w:r w:rsidRPr="00635356">
        <w:rPr>
          <w:rFonts w:cs="Arial"/>
          <w:b/>
          <w:szCs w:val="22"/>
        </w:rPr>
        <w:t>Proposal for the supply of influenza vaccine</w:t>
      </w:r>
    </w:p>
    <w:p w:rsidR="009F59AC" w:rsidRPr="00635356" w:rsidRDefault="009F59AC" w:rsidP="009F59AC">
      <w:pPr>
        <w:rPr>
          <w:rFonts w:cs="Arial"/>
          <w:szCs w:val="22"/>
        </w:rPr>
      </w:pPr>
      <w:r w:rsidRPr="00635356">
        <w:rPr>
          <w:rFonts w:cs="Arial"/>
          <w:szCs w:val="22"/>
        </w:rPr>
        <w:t>In response to your request for proposals (</w:t>
      </w:r>
      <w:r w:rsidRPr="00635356">
        <w:rPr>
          <w:rFonts w:cs="Arial"/>
          <w:b/>
          <w:szCs w:val="22"/>
        </w:rPr>
        <w:t>RFP</w:t>
      </w:r>
      <w:r w:rsidRPr="00635356">
        <w:rPr>
          <w:rFonts w:cs="Arial"/>
          <w:szCs w:val="22"/>
        </w:rPr>
        <w:t xml:space="preserve">) dated </w:t>
      </w:r>
      <w:r>
        <w:rPr>
          <w:rFonts w:cs="Arial"/>
          <w:szCs w:val="22"/>
        </w:rPr>
        <w:t>3</w:t>
      </w:r>
      <w:r w:rsidRPr="00635356">
        <w:rPr>
          <w:rFonts w:cs="Arial"/>
          <w:szCs w:val="22"/>
        </w:rPr>
        <w:t xml:space="preserve"> February 2016, we put forward the following proposal in respect of influenza vaccine.</w:t>
      </w:r>
    </w:p>
    <w:p w:rsidR="009F59AC" w:rsidRPr="00635356" w:rsidRDefault="009F59AC" w:rsidP="009F59AC">
      <w:pPr>
        <w:rPr>
          <w:rFonts w:cs="Arial"/>
          <w:szCs w:val="22"/>
        </w:rPr>
      </w:pPr>
      <w:r w:rsidRPr="00635356">
        <w:rPr>
          <w:rFonts w:cs="Arial"/>
          <w:szCs w:val="22"/>
        </w:rPr>
        <w:t>Set out below is further information in support of our proposal.</w:t>
      </w:r>
    </w:p>
    <w:p w:rsidR="009F59AC" w:rsidRPr="00AE00DF" w:rsidRDefault="009F59AC" w:rsidP="009F59AC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103"/>
      </w:tblGrid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2410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103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Pr="00AE00DF" w:rsidRDefault="009F59AC" w:rsidP="009F59AC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Details of </w:t>
      </w:r>
      <w:r>
        <w:rPr>
          <w:rFonts w:cs="Arial"/>
        </w:rPr>
        <w:t>vaccine</w:t>
      </w:r>
      <w:r w:rsidRPr="00AE00DF">
        <w:rPr>
          <w:rFonts w:cs="Arial"/>
        </w:rPr>
        <w:t xml:space="preserve">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814"/>
      </w:tblGrid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Brand name</w:t>
            </w:r>
          </w:p>
        </w:tc>
        <w:tc>
          <w:tcPr>
            <w:tcW w:w="4814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Full description of the vaccine including formulation, number of strains, which strains, potency (label claim), paediatric use</w:t>
            </w:r>
          </w:p>
        </w:tc>
        <w:tc>
          <w:tcPr>
            <w:tcW w:w="4814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2A1DEE">
              <w:rPr>
                <w:rFonts w:cs="Arial"/>
              </w:rPr>
              <w:t xml:space="preserve">Presentation </w:t>
            </w:r>
          </w:p>
        </w:tc>
        <w:tc>
          <w:tcPr>
            <w:tcW w:w="4814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 w:rsidRPr="002A1DEE">
              <w:rPr>
                <w:rFonts w:cs="Arial"/>
              </w:rPr>
              <w:t>Needle specification</w:t>
            </w:r>
            <w:r>
              <w:rPr>
                <w:rFonts w:cs="Arial"/>
              </w:rPr>
              <w:t xml:space="preserve"> (including length)</w:t>
            </w:r>
            <w:r w:rsidRPr="002A1DEE">
              <w:rPr>
                <w:rFonts w:cs="Arial"/>
              </w:rPr>
              <w:t>, including if attached or available separately</w:t>
            </w:r>
          </w:p>
        </w:tc>
        <w:tc>
          <w:tcPr>
            <w:tcW w:w="4814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 w:rsidRPr="002A1DEE">
              <w:rPr>
                <w:rFonts w:cs="Arial"/>
              </w:rPr>
              <w:t>Route of administration (e.g. subcutaneous, intramuscular</w:t>
            </w:r>
            <w:r>
              <w:rPr>
                <w:rFonts w:cs="Arial"/>
              </w:rPr>
              <w:t xml:space="preserve"> etc</w:t>
            </w:r>
            <w:r w:rsidRPr="002A1DEE">
              <w:rPr>
                <w:rFonts w:cs="Arial"/>
              </w:rPr>
              <w:t>)</w:t>
            </w:r>
          </w:p>
        </w:tc>
        <w:tc>
          <w:tcPr>
            <w:tcW w:w="4814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rPr>
          <w:cantSplit/>
        </w:trPr>
        <w:tc>
          <w:tcPr>
            <w:tcW w:w="3402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Pack size (eg 1</w:t>
            </w:r>
            <w:r w:rsidRPr="002A1DEE">
              <w:rPr>
                <w:rFonts w:cs="Arial"/>
              </w:rPr>
              <w:t>s, 10s)</w:t>
            </w:r>
          </w:p>
        </w:tc>
        <w:tc>
          <w:tcPr>
            <w:tcW w:w="4814" w:type="dxa"/>
          </w:tcPr>
          <w:p w:rsidR="009F59AC" w:rsidRPr="002A1DEE" w:rsidRDefault="009F59AC" w:rsidP="00CC5AE2">
            <w:pPr>
              <w:spacing w:after="60"/>
              <w:jc w:val="both"/>
              <w:rPr>
                <w:rFonts w:cs="Arial"/>
              </w:rPr>
            </w:pPr>
          </w:p>
        </w:tc>
      </w:tr>
      <w:tr w:rsidR="009F59AC" w:rsidRPr="002A1DEE" w:rsidTr="00CC5AE2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 w:rsidRPr="002A1DEE">
              <w:rPr>
                <w:rFonts w:cs="Arial"/>
              </w:rPr>
              <w:t>Packaging type (eg individual box)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2A1DEE" w:rsidRDefault="009F59AC" w:rsidP="00CC5AE2">
            <w:pPr>
              <w:spacing w:after="60"/>
              <w:jc w:val="both"/>
              <w:rPr>
                <w:rFonts w:cs="Arial"/>
              </w:rPr>
            </w:pPr>
          </w:p>
        </w:tc>
      </w:tr>
      <w:tr w:rsidR="009F59AC" w:rsidRPr="002A1DEE" w:rsidTr="00CC5AE2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Known adverse events and details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2A1DEE" w:rsidRDefault="009F59AC" w:rsidP="00CC5AE2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9F59AC" w:rsidRDefault="009F59AC" w:rsidP="009F59AC">
      <w:pPr>
        <w:ind w:left="1134"/>
        <w:jc w:val="both"/>
        <w:rPr>
          <w:rFonts w:cs="Arial"/>
        </w:rPr>
      </w:pPr>
    </w:p>
    <w:p w:rsidR="009F59AC" w:rsidRPr="00AE00DF" w:rsidRDefault="009F59AC" w:rsidP="009F59AC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Details of </w:t>
      </w:r>
      <w:r>
        <w:rPr>
          <w:rFonts w:cs="Arial"/>
        </w:rPr>
        <w:t>vaccine</w:t>
      </w:r>
      <w:r w:rsidRPr="00AE00DF">
        <w:rPr>
          <w:rFonts w:cs="Arial"/>
        </w:rPr>
        <w:t xml:space="preserve"> </w:t>
      </w:r>
      <w:r>
        <w:rPr>
          <w:rFonts w:cs="Arial"/>
        </w:rPr>
        <w:t>manufacture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55"/>
      </w:tblGrid>
      <w:tr w:rsidR="009F59AC" w:rsidRPr="00AE00DF" w:rsidTr="00CC5AE2">
        <w:tc>
          <w:tcPr>
            <w:tcW w:w="3261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 w:rsidRPr="002A1DEE">
              <w:rPr>
                <w:rFonts w:cs="Arial"/>
              </w:rPr>
              <w:t>Name and address of manufacturer</w:t>
            </w:r>
            <w:r>
              <w:rPr>
                <w:rFonts w:cs="Arial"/>
              </w:rPr>
              <w:t>/s</w:t>
            </w:r>
            <w:r w:rsidRPr="002A1DEE">
              <w:rPr>
                <w:rFonts w:cs="Arial"/>
              </w:rPr>
              <w:t xml:space="preserve"> of the vaccine</w:t>
            </w:r>
          </w:p>
        </w:tc>
        <w:tc>
          <w:tcPr>
            <w:tcW w:w="4955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3261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Lead time</w:t>
            </w:r>
          </w:p>
        </w:tc>
        <w:tc>
          <w:tcPr>
            <w:tcW w:w="4955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3261" w:type="dxa"/>
          </w:tcPr>
          <w:p w:rsidR="009F59AC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Details on vaccine manufacturing sites and their registration with Medsafe or other registrations</w:t>
            </w:r>
          </w:p>
        </w:tc>
        <w:tc>
          <w:tcPr>
            <w:tcW w:w="4955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3261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Batch size/s</w:t>
            </w:r>
          </w:p>
        </w:tc>
        <w:tc>
          <w:tcPr>
            <w:tcW w:w="4955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3261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Approximate manufacture time</w:t>
            </w:r>
          </w:p>
        </w:tc>
        <w:tc>
          <w:tcPr>
            <w:tcW w:w="4955" w:type="dxa"/>
          </w:tcPr>
          <w:p w:rsidR="009F59AC" w:rsidRPr="00AE00DF" w:rsidRDefault="009F59AC" w:rsidP="00CC5AE2">
            <w:pPr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3261" w:type="dxa"/>
          </w:tcPr>
          <w:p w:rsidR="009F59AC" w:rsidRPr="002A1DEE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Approximate time for shipping</w:t>
            </w:r>
          </w:p>
        </w:tc>
        <w:tc>
          <w:tcPr>
            <w:tcW w:w="4955" w:type="dxa"/>
          </w:tcPr>
          <w:p w:rsidR="009F59AC" w:rsidRPr="002A1DEE" w:rsidRDefault="009F59AC" w:rsidP="00CC5AE2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9F59AC" w:rsidRDefault="009F59AC" w:rsidP="009F59AC">
      <w:pPr>
        <w:spacing w:after="0"/>
        <w:rPr>
          <w:rFonts w:cs="Arial"/>
        </w:rPr>
      </w:pPr>
    </w:p>
    <w:p w:rsidR="009F59AC" w:rsidRPr="00B21DB1" w:rsidRDefault="009F59AC" w:rsidP="009F59AC">
      <w:pPr>
        <w:rPr>
          <w:rFonts w:cs="Arial"/>
        </w:rPr>
      </w:pPr>
      <w:r w:rsidRPr="00B21DB1">
        <w:rPr>
          <w:rFonts w:cs="Arial"/>
        </w:rPr>
        <w:t>For a sole subsidised supply scenario PHARMAC may have a preference for suppliers who have multiple influenza vaccine manufacturing sites registered with Medsafe</w:t>
      </w:r>
      <w:r w:rsidRPr="00B21DB1">
        <w:t xml:space="preserve"> or have other mechanisms in place that would provide confidence around assurance of supply</w:t>
      </w:r>
      <w:r w:rsidRPr="00B21DB1">
        <w:rPr>
          <w:rFonts w:cs="Arial"/>
        </w:rPr>
        <w:t>.</w:t>
      </w:r>
    </w:p>
    <w:p w:rsidR="009F59AC" w:rsidRPr="00AE00DF" w:rsidRDefault="009F59AC" w:rsidP="009F59AC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Key features of our </w:t>
      </w:r>
      <w:r>
        <w:rPr>
          <w:rFonts w:cs="Arial"/>
        </w:rPr>
        <w:t>vaccine not mentioned above: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AE00DF" w:rsidRDefault="009F59AC" w:rsidP="00CC5AE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 (</w:t>
      </w:r>
      <w:r>
        <w:rPr>
          <w:rFonts w:cs="Arial"/>
        </w:rPr>
        <w:t>for example but not limited to</w:t>
      </w:r>
      <w:r w:rsidRPr="00AE00DF">
        <w:rPr>
          <w:rFonts w:cs="Arial"/>
        </w:rPr>
        <w:t xml:space="preserve"> price in return for sole supply, reference price protection</w:t>
      </w:r>
      <w:r>
        <w:rPr>
          <w:rFonts w:cs="Arial"/>
        </w:rPr>
        <w:t xml:space="preserve"> and</w:t>
      </w:r>
      <w:r w:rsidRPr="00AE00DF">
        <w:rPr>
          <w:rFonts w:cs="Arial"/>
        </w:rPr>
        <w:t xml:space="preserve"> risk sharing mechanisms)</w:t>
      </w:r>
      <w:r>
        <w:rPr>
          <w:rFonts w:cs="Arial"/>
        </w:rPr>
        <w:t>.</w:t>
      </w:r>
      <w:r w:rsidRPr="004A6B95">
        <w:rPr>
          <w:rFonts w:cs="Arial"/>
        </w:rPr>
        <w:t xml:space="preserve"> </w:t>
      </w:r>
      <w:r>
        <w:rPr>
          <w:rFonts w:cs="Arial"/>
        </w:rPr>
        <w:t>Note this price is to include distribution to vaccinators.</w:t>
      </w:r>
    </w:p>
    <w:p w:rsidR="009F59AC" w:rsidRPr="00AE00DF" w:rsidRDefault="009F59AC" w:rsidP="009F59AC">
      <w:pPr>
        <w:keepNext/>
        <w:keepLines/>
        <w:ind w:left="1134"/>
        <w:jc w:val="both"/>
        <w:rPr>
          <w:rFonts w:cs="Arial"/>
        </w:rPr>
      </w:pPr>
      <w:r>
        <w:rPr>
          <w:rFonts w:cs="Arial"/>
        </w:rPr>
        <w:t>Proposals must be clear about which type of proposal the price relates to, Suppliers are welcome to submit more than one proposal, each will be considered separately.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AE00DF" w:rsidRDefault="009F59AC" w:rsidP="00CC5AE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Pr="001749D1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 xml:space="preserve">Information </w:t>
      </w:r>
      <w:r>
        <w:rPr>
          <w:rFonts w:cs="Arial"/>
        </w:rPr>
        <w:t>about the proposed distribution arrangements (including a returns policy for unused vaccines and any minimum order requirements) and ability to monitor cold chain requirements.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AE00DF" w:rsidRDefault="009F59AC" w:rsidP="00CC5AE2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9F59AC" w:rsidRDefault="009F59AC" w:rsidP="009F59AC">
      <w:pPr>
        <w:rPr>
          <w:rFonts w:cs="Arial"/>
        </w:rPr>
      </w:pPr>
    </w:p>
    <w:p w:rsidR="009F59AC" w:rsidRPr="00AE00DF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9F59AC" w:rsidRPr="00AE00DF" w:rsidTr="00CC5AE2">
        <w:tc>
          <w:tcPr>
            <w:tcW w:w="4820" w:type="dxa"/>
          </w:tcPr>
          <w:p w:rsidR="009F59AC" w:rsidRPr="009C0FA9" w:rsidRDefault="009F59AC" w:rsidP="00CC5AE2">
            <w:pPr>
              <w:keepNext/>
              <w:spacing w:after="60"/>
              <w:rPr>
                <w:rFonts w:cs="Arial"/>
              </w:rPr>
            </w:pPr>
            <w:r w:rsidRPr="009C0FA9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2268" w:type="dxa"/>
          </w:tcPr>
          <w:p w:rsidR="009F59AC" w:rsidRPr="00AE00DF" w:rsidRDefault="009F59AC" w:rsidP="00CC5AE2">
            <w:pPr>
              <w:keepNext/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4820" w:type="dxa"/>
          </w:tcPr>
          <w:p w:rsidR="009F59AC" w:rsidRPr="009C0FA9" w:rsidRDefault="009F59AC" w:rsidP="00CC5AE2">
            <w:pPr>
              <w:keepNext/>
              <w:spacing w:after="60"/>
              <w:rPr>
                <w:rFonts w:cs="Arial"/>
              </w:rPr>
            </w:pPr>
            <w:r w:rsidRPr="009C0FA9">
              <w:rPr>
                <w:rFonts w:cs="Arial"/>
                <w:b/>
              </w:rPr>
              <w:t>OR</w:t>
            </w:r>
            <w:r w:rsidRPr="009C0FA9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2268" w:type="dxa"/>
          </w:tcPr>
          <w:p w:rsidR="009F59AC" w:rsidRPr="00AE00DF" w:rsidRDefault="009F59AC" w:rsidP="00CC5AE2">
            <w:pPr>
              <w:keepNext/>
              <w:spacing w:after="60"/>
              <w:rPr>
                <w:rFonts w:cs="Arial"/>
              </w:rPr>
            </w:pPr>
          </w:p>
        </w:tc>
      </w:tr>
      <w:tr w:rsidR="009F59AC" w:rsidRPr="00AE00DF" w:rsidTr="00CC5AE2">
        <w:tc>
          <w:tcPr>
            <w:tcW w:w="4820" w:type="dxa"/>
          </w:tcPr>
          <w:p w:rsidR="009F59AC" w:rsidRPr="009C0FA9" w:rsidRDefault="009F59AC" w:rsidP="00CC5AE2">
            <w:pPr>
              <w:keepNext/>
              <w:spacing w:after="60"/>
              <w:rPr>
                <w:rFonts w:cs="Arial"/>
              </w:rPr>
            </w:pPr>
            <w:r w:rsidRPr="009C0FA9">
              <w:rPr>
                <w:rFonts w:cs="Arial"/>
                <w:b/>
              </w:rPr>
              <w:t xml:space="preserve">OR </w:t>
            </w:r>
            <w:r w:rsidRPr="009C0FA9">
              <w:rPr>
                <w:rFonts w:cs="Arial"/>
              </w:rPr>
              <w:t>Expected date of dossier submission to Medsafe</w:t>
            </w:r>
          </w:p>
        </w:tc>
        <w:tc>
          <w:tcPr>
            <w:tcW w:w="2268" w:type="dxa"/>
          </w:tcPr>
          <w:p w:rsidR="009F59AC" w:rsidRPr="00AE00DF" w:rsidRDefault="009F59AC" w:rsidP="00CC5AE2">
            <w:pPr>
              <w:keepNext/>
              <w:spacing w:after="60"/>
              <w:rPr>
                <w:rFonts w:cs="Arial"/>
                <w:b/>
                <w:i/>
              </w:rPr>
            </w:pPr>
          </w:p>
        </w:tc>
      </w:tr>
      <w:tr w:rsidR="009F59AC" w:rsidRPr="00AE00DF" w:rsidTr="00CC5AE2">
        <w:tc>
          <w:tcPr>
            <w:tcW w:w="4820" w:type="dxa"/>
          </w:tcPr>
          <w:p w:rsidR="009F59AC" w:rsidRPr="009C0FA9" w:rsidRDefault="009F59AC" w:rsidP="00CC5AE2">
            <w:pPr>
              <w:spacing w:after="60"/>
              <w:rPr>
                <w:rFonts w:cs="Arial"/>
              </w:rPr>
            </w:pPr>
            <w:r w:rsidRPr="009C0FA9">
              <w:rPr>
                <w:rFonts w:cs="Arial"/>
              </w:rPr>
              <w:t xml:space="preserve">Insert any other consents required for </w:t>
            </w:r>
            <w:r>
              <w:rPr>
                <w:rFonts w:cs="Arial"/>
              </w:rPr>
              <w:t>vaccine</w:t>
            </w:r>
          </w:p>
        </w:tc>
        <w:tc>
          <w:tcPr>
            <w:tcW w:w="2268" w:type="dxa"/>
          </w:tcPr>
          <w:p w:rsidR="009F59AC" w:rsidRPr="00AE00DF" w:rsidRDefault="009F59AC" w:rsidP="00CC5AE2">
            <w:pPr>
              <w:spacing w:after="60"/>
              <w:rPr>
                <w:rFonts w:cs="Arial"/>
                <w:b/>
                <w:i/>
              </w:rPr>
            </w:pPr>
          </w:p>
        </w:tc>
      </w:tr>
      <w:tr w:rsidR="009F59AC" w:rsidRPr="00AE00DF" w:rsidTr="00CC5AE2">
        <w:tc>
          <w:tcPr>
            <w:tcW w:w="4820" w:type="dxa"/>
          </w:tcPr>
          <w:p w:rsidR="009F59AC" w:rsidRPr="009C0FA9" w:rsidRDefault="009F59AC" w:rsidP="00CC5AE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If the vaccine is not registered in New Zealand, what countries is it registered in?</w:t>
            </w:r>
          </w:p>
        </w:tc>
        <w:tc>
          <w:tcPr>
            <w:tcW w:w="2268" w:type="dxa"/>
          </w:tcPr>
          <w:p w:rsidR="009F59AC" w:rsidRPr="00AE00DF" w:rsidRDefault="009F59AC" w:rsidP="00CC5AE2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:rsidR="009F59AC" w:rsidRPr="00AE00DF" w:rsidRDefault="009F59AC" w:rsidP="009F59AC">
      <w:pPr>
        <w:rPr>
          <w:rFonts w:cs="Arial"/>
          <w:b/>
          <w:i/>
        </w:rPr>
      </w:pPr>
    </w:p>
    <w:p w:rsidR="009F59AC" w:rsidRPr="00AE00DF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 xml:space="preserve">Information about our ability to ensure the continuity of supply of the </w:t>
      </w:r>
      <w:r>
        <w:rPr>
          <w:rFonts w:cs="Arial"/>
        </w:rPr>
        <w:t>vaccine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93354F" w:rsidRDefault="009F59AC" w:rsidP="00CC5AE2">
            <w:pPr>
              <w:keepNext/>
              <w:keepLines/>
              <w:spacing w:after="1000"/>
              <w:rPr>
                <w:rFonts w:cs="Arial"/>
                <w:b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Pr="00031752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Information about our previous supply performance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93354F" w:rsidRDefault="009F59AC" w:rsidP="00CC5AE2">
            <w:pPr>
              <w:spacing w:after="1000"/>
              <w:rPr>
                <w:rFonts w:cs="Arial"/>
                <w:b/>
              </w:rPr>
            </w:pPr>
          </w:p>
        </w:tc>
      </w:tr>
    </w:tbl>
    <w:p w:rsidR="009F59AC" w:rsidRPr="00031752" w:rsidRDefault="009F59AC" w:rsidP="009F59AC">
      <w:pPr>
        <w:keepNext/>
        <w:keepLines/>
        <w:jc w:val="both"/>
        <w:rPr>
          <w:rFonts w:cs="Arial"/>
        </w:rPr>
      </w:pPr>
    </w:p>
    <w:p w:rsidR="009F59AC" w:rsidRPr="00AE00DF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Proposals/suggestions (</w:t>
      </w:r>
      <w:r>
        <w:rPr>
          <w:rFonts w:cs="Arial"/>
        </w:rPr>
        <w:t>for example but not limited to</w:t>
      </w:r>
      <w:r w:rsidRPr="00AE00DF">
        <w:rPr>
          <w:rFonts w:cs="Arial"/>
        </w:rPr>
        <w:t xml:space="preserve"> pricing</w:t>
      </w:r>
      <w:r>
        <w:rPr>
          <w:rFonts w:cs="Arial"/>
        </w:rPr>
        <w:t xml:space="preserve"> and</w:t>
      </w:r>
      <w:r w:rsidRPr="00AE00DF">
        <w:rPr>
          <w:rFonts w:cs="Arial"/>
        </w:rPr>
        <w:t xml:space="preserve"> risk sharing arrangements) regarding the </w:t>
      </w:r>
      <w:r>
        <w:rPr>
          <w:rFonts w:cs="Arial"/>
        </w:rPr>
        <w:t>vaccine</w:t>
      </w:r>
      <w:r w:rsidRPr="00AE00DF">
        <w:rPr>
          <w:rFonts w:cs="Arial"/>
        </w:rPr>
        <w:t xml:space="preserve">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93354F" w:rsidRDefault="009F59AC" w:rsidP="00CC5AE2">
            <w:pPr>
              <w:keepNext/>
              <w:keepLines/>
              <w:spacing w:after="1000"/>
              <w:rPr>
                <w:rFonts w:cs="Arial"/>
                <w:b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Pr="00AE00DF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93354F" w:rsidRDefault="009F59AC" w:rsidP="00CC5AE2">
            <w:pPr>
              <w:spacing w:after="1000"/>
              <w:rPr>
                <w:rFonts w:cs="Arial"/>
                <w:b/>
              </w:rPr>
            </w:pPr>
          </w:p>
        </w:tc>
      </w:tr>
    </w:tbl>
    <w:p w:rsidR="009F59AC" w:rsidRPr="00AE00DF" w:rsidRDefault="009F59AC" w:rsidP="009F59AC">
      <w:pPr>
        <w:rPr>
          <w:rFonts w:cs="Arial"/>
        </w:rPr>
      </w:pPr>
    </w:p>
    <w:p w:rsidR="009F59AC" w:rsidRPr="00AE00DF" w:rsidRDefault="009F59AC" w:rsidP="009F59AC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Additional information that PHARMAC should consider when evaluating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F59AC" w:rsidRPr="00AE00DF" w:rsidTr="00CC5AE2">
        <w:tc>
          <w:tcPr>
            <w:tcW w:w="7513" w:type="dxa"/>
          </w:tcPr>
          <w:p w:rsidR="009F59AC" w:rsidRPr="0093354F" w:rsidRDefault="009F59AC" w:rsidP="00CC5AE2">
            <w:pPr>
              <w:keepNext/>
              <w:keepLines/>
              <w:spacing w:after="1000"/>
              <w:rPr>
                <w:rFonts w:cs="Arial"/>
                <w:b/>
              </w:rPr>
            </w:pPr>
          </w:p>
        </w:tc>
      </w:tr>
    </w:tbl>
    <w:p w:rsidR="009F59AC" w:rsidRPr="00AE00DF" w:rsidRDefault="009F59AC" w:rsidP="009F59AC">
      <w:pPr>
        <w:pStyle w:val="Indent1"/>
        <w:ind w:left="0"/>
        <w:jc w:val="both"/>
        <w:rPr>
          <w:rFonts w:cs="Arial"/>
        </w:rPr>
      </w:pPr>
    </w:p>
    <w:p w:rsidR="00E32034" w:rsidRPr="00E3685A" w:rsidRDefault="00E32034" w:rsidP="00E3685A">
      <w:pPr>
        <w:spacing w:after="0"/>
        <w:jc w:val="both"/>
      </w:pPr>
    </w:p>
    <w:sectPr w:rsidR="00E32034" w:rsidRPr="00E3685A" w:rsidSect="004B72A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6C" w:rsidRDefault="00D50F6C" w:rsidP="009F59AC">
      <w:pPr>
        <w:spacing w:after="0"/>
      </w:pPr>
      <w:r>
        <w:separator/>
      </w:r>
    </w:p>
  </w:endnote>
  <w:endnote w:type="continuationSeparator" w:id="0">
    <w:p w:rsidR="00D50F6C" w:rsidRDefault="00D50F6C" w:rsidP="009F5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36" w:rsidRDefault="004A77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B15936" w:rsidRDefault="00D50F6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36" w:rsidRPr="00AE00DF" w:rsidRDefault="004A77B9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7D0754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7D0754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B15936" w:rsidRDefault="004A77B9">
    <w:pPr>
      <w:tabs>
        <w:tab w:val="right" w:pos="9214"/>
      </w:tabs>
      <w:spacing w:after="0"/>
      <w:ind w:right="357"/>
    </w:pPr>
    <w:fldSimple w:instr=" DOCPROPERTY Objective-Id \* MERGEFORMAT ">
      <w:r>
        <w:t>A855567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36" w:rsidRDefault="004A77B9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6C" w:rsidRDefault="00D50F6C" w:rsidP="009F59AC">
      <w:pPr>
        <w:spacing w:after="0"/>
      </w:pPr>
      <w:r>
        <w:separator/>
      </w:r>
    </w:p>
  </w:footnote>
  <w:footnote w:type="continuationSeparator" w:id="0">
    <w:p w:rsidR="00D50F6C" w:rsidRDefault="00D50F6C" w:rsidP="009F5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36" w:rsidRDefault="00D50F6C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36" w:rsidRDefault="00D50F6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AC"/>
    <w:rsid w:val="004A77B9"/>
    <w:rsid w:val="007D0754"/>
    <w:rsid w:val="009F59AC"/>
    <w:rsid w:val="00D50F6C"/>
    <w:rsid w:val="00E32034"/>
    <w:rsid w:val="00E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AC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9F59AC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9AC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9F59AC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9F59AC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9F59AC"/>
    <w:pPr>
      <w:ind w:left="567"/>
    </w:pPr>
  </w:style>
  <w:style w:type="character" w:styleId="PageNumber">
    <w:name w:val="page number"/>
    <w:basedOn w:val="DefaultParagraphFont"/>
    <w:rsid w:val="009F59AC"/>
  </w:style>
  <w:style w:type="character" w:styleId="Hyperlink">
    <w:name w:val="Hyperlink"/>
    <w:basedOn w:val="DefaultParagraphFont"/>
    <w:rsid w:val="009F59AC"/>
    <w:rPr>
      <w:color w:val="0000FF" w:themeColor="hyperlink"/>
      <w:u w:val="single"/>
    </w:rPr>
  </w:style>
  <w:style w:type="character" w:customStyle="1" w:styleId="Indent1Char">
    <w:name w:val="Indent 1 Char"/>
    <w:link w:val="Indent1"/>
    <w:locked/>
    <w:rsid w:val="009F59AC"/>
    <w:rPr>
      <w:rFonts w:eastAsia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9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AC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9F59AC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9AC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9F59AC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9F59AC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9F59AC"/>
    <w:pPr>
      <w:ind w:left="567"/>
    </w:pPr>
  </w:style>
  <w:style w:type="character" w:styleId="PageNumber">
    <w:name w:val="page number"/>
    <w:basedOn w:val="DefaultParagraphFont"/>
    <w:rsid w:val="009F59AC"/>
  </w:style>
  <w:style w:type="character" w:styleId="Hyperlink">
    <w:name w:val="Hyperlink"/>
    <w:basedOn w:val="DefaultParagraphFont"/>
    <w:rsid w:val="009F59AC"/>
    <w:rPr>
      <w:color w:val="0000FF" w:themeColor="hyperlink"/>
      <w:u w:val="single"/>
    </w:rPr>
  </w:style>
  <w:style w:type="character" w:customStyle="1" w:styleId="Indent1Char">
    <w:name w:val="Indent 1 Char"/>
    <w:link w:val="Indent1"/>
    <w:locked/>
    <w:rsid w:val="009F59AC"/>
    <w:rPr>
      <w:rFonts w:eastAsia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9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ts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Kim Ellis</cp:lastModifiedBy>
  <cp:revision>2</cp:revision>
  <dcterms:created xsi:type="dcterms:W3CDTF">2016-02-02T22:29:00Z</dcterms:created>
  <dcterms:modified xsi:type="dcterms:W3CDTF">2016-02-02T22:29:00Z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A862248</vt:lpwstr>
  </property>
  <property fmtid="{D5CDD505-2E9C-101B-9397-08002B2CF9AE}" pid="4" name="Objective-Title">
    <vt:lpwstr>Schedule 4 Submission Form (Word version)</vt:lpwstr>
  </property>
  <property fmtid="{D5CDD505-2E9C-101B-9397-08002B2CF9AE}" pid="5" name="Objective-Comment">
    <vt:lpwstr/>
  </property>
  <property fmtid="{D5CDD505-2E9C-101B-9397-08002B2CF9AE}" pid="6" name="Objective-CreationStamp">
    <vt:filetime>2016-02-02T20:51:16Z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2016-02-02T20:51:28Z</vt:filetime>
  </property>
  <property fmtid="{D5CDD505-2E9C-101B-9397-08002B2CF9AE}" pid="10" name="Objective-ModificationStamp">
    <vt:filetime>2016-02-02T20:51:29Z</vt:filetime>
  </property>
  <property fmtid="{D5CDD505-2E9C-101B-9397-08002B2CF9AE}" pid="11" name="Objective-Owner">
    <vt:lpwstr>Marcus Kim</vt:lpwstr>
  </property>
  <property fmtid="{D5CDD505-2E9C-101B-9397-08002B2CF9AE}" pid="12" name="Objective-Path">
    <vt:lpwstr>Objective Global Folder:PHARMAC Fileplan:Drug supply:RFPs:Influenza vaccines RFP 2016:01 RFP development:</vt:lpwstr>
  </property>
  <property fmtid="{D5CDD505-2E9C-101B-9397-08002B2CF9AE}" pid="13" name="Objective-Parent">
    <vt:lpwstr>01 RFP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qA37652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